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iris popcorn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 alpha-iso-methylionone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1.739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1.409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ethylene brassylate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105-95-3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203-347-8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1.304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 Iridescent. Gourmand.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ethylene brassylate (105-95-3)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&gt; 5000 mg/kg bodyweight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ethylene brassylate (105-95-3)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iris popcorn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ethylene brassylate (105-95-3)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1.23 mg/l Test organisms (species): Danio rerio (previous name: Brachydanio rerio)</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2.13 mg/l Test organisms (species): Danio rerio (previous name: Brachydanio rerio)</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6.94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14.579 mg/l Test organisms (species): Desmodesmus subspicatus (previous name: Scenedesmus subspicatus)</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0.788 mg/l Test organisms (species): other:</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iris popcorn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ethylene brassylate (105-95-3)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ethylene brassylate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Chronic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7/24/2026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7/24/2026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iris popcorn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iris popcorn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7/24/2026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B328B7A-4A58-4E89-807E-14746025AFB2}"/>
</file>

<file path=customXml/itemProps3.xml><?xml version="1.0" encoding="utf-8"?>
<ds:datastoreItem xmlns:ds="http://schemas.openxmlformats.org/officeDocument/2006/customXml" ds:itemID="{EC17A346-04AE-40DD-A649-BBA9DF59C293}"/>
</file>

<file path=customXml/itemProps4.xml><?xml version="1.0" encoding="utf-8"?>
<ds:datastoreItem xmlns:ds="http://schemas.openxmlformats.org/officeDocument/2006/customXml" ds:itemID="{63F8C24B-3D48-4F75-B8F9-36872DD9691E}"/>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