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iris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pentadecan-15-olide; alpha-iso-methylionone; [3R-(3α,3aβ,6α,7β,8aα)]-octahydro-3,6,8,8-tetramethyl-1H-3a,7-methanoazulen-5-yl acetate; isoeugenol; 2-isopropoxyethyl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106-02-5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[3R-(3α,3aβ,7β,8aα)]-2,3,4,7,8,8a-hexahydro-3,8,8-trimethyl-1H-3a,7-methanoazulene-6-methyl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1405-92-1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215-789-9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Iridescent.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alpha-iso-methylionone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bodyweight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 Guideline: EU Method B.3 (Acute Toxicity (Dermal)), Guideline: EPA OPPTS 870.1200 (Acute Dermal Toxicity),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alpha-iso-methylionone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alpha-iso-methylionone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2-isopropoxyethyl salicylate (79915-74-5)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 200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alpha-iso-methylionone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iris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alpha-iso-methylionone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iris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[3R-(3α,3aβ,7β,8aα)]-2,3,4,7,8,8a-hexahydro-3,8,8-trimethyl-1H-3a,7-methanoazulene-6-methyl acetate (1405-92-1)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 ; [3R-(3α,3aβ,6α,7β,8aα)]-octahydro-3,6,8,8-tetramethyl-1H-3a,7-methanoazulen-5-yl acetate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iris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iris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44DC1A7-ABAE-4349-8C43-EAA5A28FF743}"/>
</file>

<file path=customXml/itemProps3.xml><?xml version="1.0" encoding="utf-8"?>
<ds:datastoreItem xmlns:ds="http://schemas.openxmlformats.org/officeDocument/2006/customXml" ds:itemID="{5B45A900-8961-4EFD-AD9D-C52ED7C40E31}"/>
</file>

<file path=customXml/itemProps4.xml><?xml version="1.0" encoding="utf-8"?>
<ds:datastoreItem xmlns:ds="http://schemas.openxmlformats.org/officeDocument/2006/customXml" ds:itemID="{4D6DBACE-3BA4-4DF6-A7E4-4C35D265CFBE}"/>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