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coton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citronellol, alpha-iso-methylionone, nerol, pentadecan-15-olide, linalool, [3R-(3α,3aβ,6α,7β,8aα)]-octahydro-3,6,8,8-tetramethyl-1H-3a,7-methanoazulen-5-yl acetate, HYDROXYCITRONELLAL, coumarin, TRIMETHYLTRICYCLODODECANYL ACETATE.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woody.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coton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coton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citronellol, alpha-iso-methylionone, nerol, pentadecan-15-olide, linalool, [3R-(3α,3aβ,6α,7β,8aα)]-octahydro-3,6,8,8-tetramethyl-1H-3a,7-methanoazulen-5-yl acetate, HYDROXYCITRONELLAL, coumarin, TRIMETHYLTRICYCLODODECANYL ACETATE.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coton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fleur de coton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5/22/2026   Revision date: 6/18/2026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2FADE5D-2FA7-4725-B0EE-EE5124ED6C6F}"/>
</file>

<file path=customXml/itemProps3.xml><?xml version="1.0" encoding="utf-8"?>
<ds:datastoreItem xmlns:ds="http://schemas.openxmlformats.org/officeDocument/2006/customXml" ds:itemID="{54C2FEA7-F1AE-4C80-9A17-E5DF28CDBEEC}"/>
</file>

<file path=customXml/itemProps4.xml><?xml version="1.0" encoding="utf-8"?>
<ds:datastoreItem xmlns:ds="http://schemas.openxmlformats.org/officeDocument/2006/customXml" ds:itemID="{13AC8D23-88EB-4989-9148-B1C21675013B}"/>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