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d'eau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7-hydroxycitronellal; geraniol; 1-(1,2,3,4,5,6,7,8-octahydro-2,3,8,8-tetramethyl-2-naphthyl)ethan-1-one; isopentyl salicylate; linalool;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P302+P352 - IF ON SKIN: Wash with plenty of soap and water.</w:t>
              <w:br/>
              <w:t>P333+P313 - If skin irritation or rash occurs: Get medical advice/attention.</w:t>
              <w:br/>
              <w:t>P501 - Dispose of contents/container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aromatic. woody. Hesperidaceae. herbaceous. Marine.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d'eau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d'eau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7-hydroxycitronellal (107-75-5)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7-hydroxycitronellal ; geraniol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4/13/2026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4/13/2026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d'eau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d'eau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4/13/2026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FBB4CDB-6DA5-4312-ADFD-B1CC3254EF9B}"/>
</file>

<file path=customXml/itemProps3.xml><?xml version="1.0" encoding="utf-8"?>
<ds:datastoreItem xmlns:ds="http://schemas.openxmlformats.org/officeDocument/2006/customXml" ds:itemID="{8666BE07-E34C-43C4-B1A2-8B533E72F573}"/>
</file>

<file path=customXml/itemProps4.xml><?xml version="1.0" encoding="utf-8"?>
<ds:datastoreItem xmlns:ds="http://schemas.openxmlformats.org/officeDocument/2006/customXml" ds:itemID="{C1AA1078-4D81-4AB4-ABDF-7256F63456CF}"/>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