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cuir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pentadecan-15-olide.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4.4429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63500-71-0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1.0549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herbaceous. aromatic. Cyprus. Woody.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pentadecan-15-olide (106-02-5)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tetrahydro-2-isobutyl-4-methyl-pyran-4-ol (63500-71-0)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EU Method B.1 (Acute Toxicity (Oral)),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bodyweight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tetrahydro-2-isobutyl-4-methyl-pyran-4-ol (63500-71-0)</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125 mg/kg bodyweight Animal: rat, Guideline: OECD Guideline 407 (Repeated Dose 28-Day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bodyweight Animal: rat, Guideline: OECD Guideline 411 (Subchronic Dermal Toxicity: 90-Day Study), Guideline: EU Method B.28 (Sub-Chronic Dermal Toxicity Test: 90-Day Repeated Dermal Dose Study Using Rodent Species)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cuir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pentadecan-15-olide (106-02-5)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&gt; 0.17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tetrahydro-2-isobutyl-4-methyl-pyran-4-ol (63500-71-0)</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320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cuir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pentadecan-15-olide (106-02-5)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tetrahydro-2-isobutyl-4-methyl-pyran-4-ol (63500-71-0)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tetrahydro-2-isobutyl-4-methyl-pyran-4-ol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pentadecan-15-olide.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cuir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cuir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4/1/2026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21C77AB-88F1-4A77-9959-93FBA1AB733E}"/>
</file>

<file path=customXml/itemProps3.xml><?xml version="1.0" encoding="utf-8"?>
<ds:datastoreItem xmlns:ds="http://schemas.openxmlformats.org/officeDocument/2006/customXml" ds:itemID="{CB5FB29C-7070-4620-8033-9F9A19A5993D}"/>
</file>

<file path=customXml/itemProps4.xml><?xml version="1.0" encoding="utf-8"?>
<ds:datastoreItem xmlns:ds="http://schemas.openxmlformats.org/officeDocument/2006/customXml" ds:itemID="{47B9EC4C-2982-46AF-A9C5-9436C465F83B}"/>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