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coquelicot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3,7-dimethylnona-1,6-dien-3-ol; 7-hydroxycitronellal; alpha-iso-methylionone; citronellol; 1-(1,2,3,4,5,6,7,8-octahydro-2,3,8,8-tetramethyl-2-naphthyl)ethan-1-one;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 Floral. dew.</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coquelicot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coquelicot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coquelicot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coquelicot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3/27/2026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F78DB37-E7A1-44D6-8B86-090748AE3F56}"/>
</file>

<file path=customXml/itemProps3.xml><?xml version="1.0" encoding="utf-8"?>
<ds:datastoreItem xmlns:ds="http://schemas.openxmlformats.org/officeDocument/2006/customXml" ds:itemID="{B1EECD06-22CF-4298-B5F1-282F2FF655FB}"/>
</file>

<file path=customXml/itemProps4.xml><?xml version="1.0" encoding="utf-8"?>
<ds:datastoreItem xmlns:ds="http://schemas.openxmlformats.org/officeDocument/2006/customXml" ds:itemID="{B9DD29E6-1917-40E9-A26D-646781D99FBE}"/>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