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citron vert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Flammable solid.</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citral.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0.4732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Flammable solid.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No open flames, no sparks, and no smoking.</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Mechanically recover the product. Notify authorities if product enters sewers or public waters.</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 Keep away from heat, hot surfaces, sparks, open flames and other ignition sources. No smoking. Ground/bond container and receiving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Ground/bond container and receiving equipment.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Keep cool. Protect from sunlight. Keep away from ignition sources.</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Flammable solid.</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sidRPr="0069446B">
        <w:rPr>
          <w:noProof/>
        </w:rPr>
        <w:t>Flammable solid.</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Avoid contact with hot surfaces. Heat. No flames, no sparks. Eliminate all sources of 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citron vert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citron vert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Serious eye damage/eye irritation,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citral.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citron vert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citron vert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9BF3751-86A0-45D8-8ECF-E9BE156F037E}"/>
</file>

<file path=customXml/itemProps3.xml><?xml version="1.0" encoding="utf-8"?>
<ds:datastoreItem xmlns:ds="http://schemas.openxmlformats.org/officeDocument/2006/customXml" ds:itemID="{2832AE98-3B58-46BC-B855-837CB45511D7}"/>
</file>

<file path=customXml/itemProps4.xml><?xml version="1.0" encoding="utf-8"?>
<ds:datastoreItem xmlns:ds="http://schemas.openxmlformats.org/officeDocument/2006/customXml" ds:itemID="{FF078206-9A18-4425-A4B8-8D8DAFD54F37}"/>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