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chataigne grillée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Alcool benzylique; coumarin; Eugenol; isoeugenol;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bodyweight)</w:t>
              <w:br/>
              <w:t>Acute Tox. 4 (Inhalation), H332 (ATE=1.5 mg/l/4h)</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Corr. 1B, H314</w:t>
              <w:br/>
              <w:t>Eye Dam. 1, H318</w:t>
              <w:br/>
              <w:t>Skin Sens. 1A,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 Vanilla.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bodyweight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bodyweight Animal: mouse, Animal sex: male, Guideline: other:</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bodyweight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chataigne grillée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chataigne grillée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Alcool benzylique ; Eugenol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1, Sub-Category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severe skin burns and eye damage.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chataigne grillée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chataigne grillée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FA808EA-14CE-4387-B704-FF4C80C45EBC}"/>
</file>

<file path=customXml/itemProps3.xml><?xml version="1.0" encoding="utf-8"?>
<ds:datastoreItem xmlns:ds="http://schemas.openxmlformats.org/officeDocument/2006/customXml" ds:itemID="{9CBC291A-F1ED-4B04-B3B4-8C298B3684F4}"/>
</file>

<file path=customXml/itemProps4.xml><?xml version="1.0" encoding="utf-8"?>
<ds:datastoreItem xmlns:ds="http://schemas.openxmlformats.org/officeDocument/2006/customXml" ds:itemID="{FBB67AFF-5D5E-48F3-BF0F-7DC30F547AA8}"/>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