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calanque de cassis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linalyl acetate, 3,7-dimethylnona-1,6-dien-3-ol, citral, linalool, LIMONENE, acetyl cedrene.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2.6768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Fern. Hesperidaceae. Amber. Marine.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bodyweight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80 mg/kg bodyweight Animal: rat, Guideline: OECD Guideline 408 (Repeated Dose 90-Day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calanque de cassis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3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0.23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0.087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calanque de cassis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linalool ; d-limonene ; benzyl benzoate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benzyl benzoate ; 1,3,4,6,7,8-hexahydro-4,6,6,7,8,8-hexamethylindeno[5,6-c]pyran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linalyl acetate, 3,7-dimethylnona-1,6-dien-3-ol, citral, linalool, LIMONENE, acetyl cedrene.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calanque de cassis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calanque de cassis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7/23/2026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9AF4DBE-B62C-4F65-AEFC-F20431531263}"/>
</file>

<file path=customXml/itemProps3.xml><?xml version="1.0" encoding="utf-8"?>
<ds:datastoreItem xmlns:ds="http://schemas.openxmlformats.org/officeDocument/2006/customXml" ds:itemID="{0777C165-7C63-42C3-94CF-E175F1C9FB3C}"/>
</file>

<file path=customXml/itemProps4.xml><?xml version="1.0" encoding="utf-8"?>
<ds:datastoreItem xmlns:ds="http://schemas.openxmlformats.org/officeDocument/2006/customXml" ds:itemID="{3E414C66-B4E6-4890-A409-313558B70D89}"/>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