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bubble gum fraise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d-limonene; carvone; (E)-anethole;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carvone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99-49-0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202-759-5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(ATE=280 mg/kg bodyweight)</w:t>
              <w:br/>
              <w:t>Acute Tox. 3 (Dermal), H311 (ATE=820 mg/kg bodyweight)</w:t>
              <w:br/>
              <w:t>Acute Tox. 3 (Inhalation), H331 (ATE=0.5 mg/l/4h)</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diphenyl ether</w:t>
            </w:r>
          </w:p>
          <w:p w:rsidR="00827634" w:rsidRPr="0069446B" w:rsidP="009B0F88" w14:paraId="147D3D58" w14:textId="33B2CEBF">
            <w:pPr>
              <w:pStyle w:val="SDSTableTextNormal"/>
              <w:rPr>
                <w:noProof w:val="0"/>
              </w:rPr>
            </w:pPr>
            <w:r w:rsidRPr="0069446B">
              <w:rPr>
                <w:noProof/>
              </w:rPr>
              <w:t>substance with a Community workplace exposure limit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101-84-8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 H317</w:t>
              <w:br/>
              <w:t>Aquatic Acute 1, H400</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B077C8" w:rsidRPr="0069446B" w:rsidP="00B077C8" w14:paraId="76C830A6" w14:textId="7C05BC4C">
      <w:pPr>
        <w:pStyle w:val="SDSTextHeading3"/>
        <w:rPr>
          <w:noProof w:val="0"/>
          <w:color w:val="auto"/>
          <w:lang w:val="en-US"/>
        </w:rPr>
      </w:pPr>
      <w:r w:rsidRPr="0069446B">
        <w:rPr>
          <w:noProof/>
          <w:color w:val="auto"/>
          <w:lang w:val="en-US"/>
        </w:rPr>
        <w:t>National occupational exposure and biological limit values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diphenyl ether</w:t>
            </w:r>
            <w:r w:rsidRPr="0069446B">
              <w:rPr>
                <w:noProof w:val="0"/>
                <w:color w:val="auto"/>
              </w:rPr>
              <w:t xml:space="preserve"> </w:t>
            </w:r>
            <w:r w:rsidRPr="0069446B" w:rsidR="00FD53E4">
              <w:rPr>
                <w:noProof/>
                <w:color w:val="auto"/>
              </w:rPr>
              <w:t>(101-84-8)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Indicative Occupational Exposure Limit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Local name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Diphenyl ether</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14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Regulatory reference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bl>
    <w:bookmarkStart w:id="1" w:name="_Hlk205902293"/>
    <w:bookmarkEnd w:id="1"/>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Vanilla. Mint.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bodyweight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bodyweight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bodyweight Animal: rat, 95% CL: 2090 -</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bodyweight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(E)-anethole (4180-23-8)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300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diphenyl ether (101-84-8)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sidR="00FA7F7F">
              <w:rPr>
                <w:noProof/>
                <w:lang w:val="fr-BE"/>
              </w:rPr>
              <w:t>1000 mg/kg bodyweight Animal: rat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bubble gum fraise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hexanoate (123-68-2)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 2.44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 1.05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diphenyl ether (101-84-8)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1.96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bubble gum fraise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carvone (99-49-0)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hexanoate (123-68-2)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diphenyl ether (101-84-8)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allyl hexanoate ; (E)-anethole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allyl hexanoate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swallowed.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in contact with skin.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inhaled.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bubble gum fraise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bubble gum fraise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E121BF6-468B-45EF-A316-F37DF7BFCEE3}"/>
</file>

<file path=customXml/itemProps3.xml><?xml version="1.0" encoding="utf-8"?>
<ds:datastoreItem xmlns:ds="http://schemas.openxmlformats.org/officeDocument/2006/customXml" ds:itemID="{DF2161C4-A265-44E0-BB8F-182400BC79C4}"/>
</file>

<file path=customXml/itemProps4.xml><?xml version="1.0" encoding="utf-8"?>
<ds:datastoreItem xmlns:ds="http://schemas.openxmlformats.org/officeDocument/2006/customXml" ds:itemID="{B80AA43D-5C8E-4A7B-B865-FEFA33C418BB}"/>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