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boisé d'hiver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EUGENOL, linalyl acetate, coumarin, LIMONENE.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97-53-0</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Amber. Spicy.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Eugenol (97-53-0)</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Animal sex: male, Guideline: OECD Guideline 423 (Acute Oral toxicity - Acute Toxic Class Method)</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1500 – 1500 mg/kg bodyweight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bodyweight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bodyweight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bodyweight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bodyweight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bodyweight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(subchronic, oral, animal/male,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bodyweight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bodyweight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&gt; 138.3 mg/kg bodyweight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boisé d'hiver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Eugenol (97-53-0)</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13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boisé d'hiver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Eugenol (97-53-0)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Eugenol ; linalyl acetate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EUGENOL, linalyl acetate, coumarin, LIMONENE.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7/29/2026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7/29/2026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boisé d'hiver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boisé d'hiver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7/29/2026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39F79A3-0D7F-4BD2-A5A3-6DDF537602D0}"/>
</file>

<file path=customXml/itemProps3.xml><?xml version="1.0" encoding="utf-8"?>
<ds:datastoreItem xmlns:ds="http://schemas.openxmlformats.org/officeDocument/2006/customXml" ds:itemID="{679E6123-1233-46D8-88C6-ED7D974BFF41}"/>
</file>

<file path=customXml/itemProps4.xml><?xml version="1.0" encoding="utf-8"?>
<ds:datastoreItem xmlns:ds="http://schemas.openxmlformats.org/officeDocument/2006/customXml" ds:itemID="{DDF5F18B-636D-442F-86C0-0FE9FEF627BA}"/>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