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bois flotté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68600</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Hazardous to the aquatic environment – Chronic Hazard,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May cause an allergic skin reaction. Harmful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Hazard pictograms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geraniol; (ethoxymethoxy)cyclododecane; acetyl cedrene; [3R-(3α,3aβ,6α,7β,8aα)]-octahydro-3,6,8,8-tetramethyl-1H-3a,7-methanoazulen-5-yl acetate; linalool; benzyl salicylate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May cause an allergic skin reaction.</w:t>
              <w:br/>
              <w:t>H412 - Harmful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P302+P352 - IF ON SKIN: Wash with plenty of soap and water.</w:t>
              <w:br/>
              <w:t>P333+P313 - If skin irritation or rash occurs: Get medical advice/attention.</w:t>
              <w:br/>
              <w:t>P501 - Dispose of contents and 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F82798" w:rsidRPr="0069446B" w:rsidP="00A727C2" w14:paraId="2F7B68FE" w14:textId="77777777">
      <w:pPr>
        <w:pStyle w:val="SDSTextNormal"/>
      </w:pPr>
      <w:bookmarkStart w:id="0"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Component</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Substance(s) not meeting the PBT criteria of REACH regulation, in accordance with Annex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(ethoxymethoxy)cyclododecane (58567-11-6)</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Substance(s) not meeting the vPvB criteria of REACH regulation, in accordance with Annex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(ethoxymethoxy)cyclododecane (58567-11-6)</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Component</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Substance(s) not included in the list established in accordance with Article 59(1) of REACH for having endocrine disrupting properties, or is not identified as having endocrine disrupting properties in accordance with the criteria set out in Commission Delegated Regulation (EU) 2017/2100 or Commission Regulation (EU) 2018/605</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bookmarkEnd w:id="0"/>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118-58-1</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204-262-9</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1.54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Eye Irrit. 2, H319</w:t>
              <w:br/>
              <w:t>Skin Sens. 1B, H317</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[3R-(3α,3aβ,6α,7β,8aα)]-octahydro-3,6,8,8-tetramethyl-1H-3a,7-methanoazulen-5-yl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77-54-3</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201-036-1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0.546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acetyl 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32388-55-9</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251-020-3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1-(5,6,7,8-tetrahydro-3,5,5,6,8,8-hexamethyl-2-naphthyl)ethan-1-one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21145-77-7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244-240-6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Aquatic Acute 1, H400</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(ethoxymethoxy)cyclododecane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58567-11-6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261-332-1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0.0483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[3R-(3α,3aβ,7β,8aα)]-octahydro-3,8,8-trimethyl-6-methylene-1H-3a,7-methanoazulene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546-28-1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208-898-8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Avoid breathing dust/fume/gas/mist/vapours/spray.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Contaminated work clothing should not be allowed out of the workplace. Wash contaminated clothing before reuse.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Woody. Marine.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geraniol (106-24-1)</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3600 mg/kg bodyweight Animal: rat, 95% CL: 2840 - 4570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(ethoxymethoxy)cyclododecane (58567-11-6)</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bodyweight Animal: rat, Animal sex: male, Guideline: OECD Guideline 401 (Acute Oral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bodyweight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acetyl cedrene (32388-55-9)</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bodyweight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[3R-(3α,3aβ,6α,7β,8aα)]-octahydro-3,6,8,8-tetramethyl-1H-3a,7-methanoazulen-5-yl acetate (77-54-3)</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44750 mg/kg bodyweight Animal: rat, Guideline: OECD Guideline 401 (Acute Oral Toxicity), 95% CL: 33650 - 59520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bodyweight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bodyweight Animal: mouse, Guideline: OECD Guideline 401 (Acute Oral Toxicity), 95% CL: 2620 - 3620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bodyweight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1-(5,6,7,8-tetrahydro-3,5,5,6,8,8-hexamethyl-2-naphthyl)ethan-1-one (21145-77-7)</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920 mg/kg bodyweight Animal: rat, Guideline: OECD Guideline 401 (Acute Oral Toxicity), 95% CL: 795 - 1066</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sidR="00FA7F7F">
              <w:rPr>
                <w:noProof/>
              </w:rPr>
              <w:t>9740 mg/kg Source: NLM; ChemIDplus</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salicylate (118-58-1)</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bodyweight Animal: rabbit, Guideline: EU Method B.3 (Acute Toxicity (Dermal))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(chronic, oral, animal/male, 2 years)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bodyweight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(ethoxymethoxy)cyclododecane (58567-11-6)</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50 mg/kg bodyweight Animal: rat, Animal sex: male, Guideline: OECD Guideline 422 (Combined Repeated Dose Toxicity Study with the Reproduction / Developmental Toxicity Screening Test), Guideline: other:</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1000 mg/kg bodyweight Animal: rat, Animal sex: female, Guideline: OECD Guideline 422 (Combined Repeated Dose Toxicity Study with the Reproduction / Developmental Toxicity Screening Test),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benzyl salicylate (118-58-1)</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158 mg/kg bodyweight Animal: rat, Animal sex: female,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geraniol (106-24-1)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300 mg/kg bodyweight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acetyl cedrene (32388-55-9)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80 mg/kg bodyweight Animal: rat, Guideline: OECD Guideline 408 (Repeated Dose 90-Day Oral Toxicity Study in Rodents)</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300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salicylate (118-58-1)</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177 mg/kg bodyweight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bois flotté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acetyl cedrene (32388-55-9)</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 xml:space="preserve">38.25 mm²/s Temp.: '20°C' </w:t>
            </w:r>
            <w:r w:rsidRPr="0069446B">
              <w:rPr>
                <w:rFonts w:hint="eastAsia"/>
                <w:noProof/>
                <w:lang w:eastAsia="ja-JP"/>
              </w:rPr>
              <w:t>Parameter: 'kinematic viscosity (in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 on other hazards</w:t>
      </w:r>
      <w:bookmarkEnd w:id="2"/>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Harmful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Harmful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geraniol (106-24-1)</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 22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10.8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(ethoxymethoxy)cyclododecane (58567-11-6)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1.9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1.6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2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acetyl cedrene (32388-55-9)</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 mg/l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3 mg/l Test organisms (species): Pimephales promelas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0.86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2.8 mg/l Test organisms (species): Raphidocelis subcapitata (previous names: Pseudokirchneriella subcapitata, Selenastrum capricornutum)</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&gt; 4.3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0.23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0.087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[3R-(3α,3aβ,6α,7β,8aα)]-octahydro-3,6,8,8-tetramethyl-1H-3a,7-methanoazulen-5-yl acetate (77-54-3)</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15.61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0.33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0.31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1-(5,6,7,8-tetrahydro-3,5,5,6,8,8-hexamethyl-2-naphthyl)ethan-1-one (21145-77-7)</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sidR="00FA7F7F">
              <w:rPr>
                <w:noProof/>
              </w:rPr>
              <w:t>&gt; 0.81 mg/l Source: ECHA chem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salicylate (118-58-1)</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1.03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1.16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0.691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1.29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bois flotté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[3R-(3α,3aβ,7β,8aα)]-octahydro-3,8,8-trimethyl-6-methylene-1H-3a,7-methanoazulene (546-28-1)</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(ethoxymethoxy)cyclododecane (58567-11-6)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acetyl cedrene (32388-55-9)</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[3R-(3α,3aβ,6α,7β,8aα)]-octahydro-3,6,8,8-tetramethyl-1H-3a,7-methanoazulen-5-yl acetate (77-54-3)</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alpha-cedrene (469-61-4)</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1-(5,6,7,8-tetrahydro-3,5,5,6,8,8-hexamethyl-2-naphthyl)ethan-1-one (21145-77-7)</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tbl>
      <w:tblPr>
        <w:tblStyle w:val="SDSTableWithBordersWithHeaderRow"/>
        <w:tblW w:w="10489" w:type="dxa"/>
        <w:tblLayout w:type="fixed"/>
        <w:tblLook w:val="04A0"/>
      </w:tblPr>
      <w:tblGrid>
        <w:gridCol w:w="3969"/>
        <w:gridCol w:w="6520"/>
      </w:tblGrid>
      <w:tr w14:paraId="0E63EE1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F851B8" w14:textId="6DF81C10">
            <w:pPr>
              <w:pStyle w:val="SDSTableTextHeading1"/>
              <w:rPr>
                <w:noProof w:val="0"/>
                <w:color w:val="auto"/>
              </w:rPr>
            </w:pPr>
            <w:r w:rsidRPr="0069446B" w:rsidR="00FA7F7F">
              <w:rPr>
                <w:noProof/>
                <w:color w:val="auto"/>
              </w:rPr>
              <w:t>1-(5,6,7,8-tetrahydro-3,5,5,6,8,8-hexamethyl-2-naphthyl)ethan-1-one (21145-77-7)</w:t>
            </w:r>
          </w:p>
        </w:tc>
      </w:tr>
      <w:tr w14:paraId="40836B2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AB0BD12" w14:textId="596A5367">
            <w:pPr>
              <w:pStyle w:val="SDSTableTextNormal"/>
              <w:rPr>
                <w:noProof w:val="0"/>
              </w:rPr>
            </w:pPr>
            <w:r w:rsidRPr="0069446B" w:rsidR="00FA7F7F">
              <w:rPr>
                <w:noProof/>
              </w:rPr>
              <w:t>Mobility in soil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522C89" w14:textId="2FD8F89C">
            <w:pPr>
              <w:pStyle w:val="SDSTableTextNormal"/>
              <w:rPr>
                <w:noProof w:val="0"/>
              </w:rPr>
            </w:pPr>
            <w:r w:rsidRPr="0069446B" w:rsidR="00FA7F7F">
              <w:rPr>
                <w:noProof/>
              </w:rPr>
              <w:t>18770 Source: EPISUITE v4.1</w:t>
            </w:r>
          </w:p>
        </w:tc>
      </w:tr>
    </w:tbl>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Component</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Substance(s) not meeting the PBT criteria of REACH regulation, in accordance with Annex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(ethoxymethoxy)cyclododecane (58567-11-6)</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Substance(s) not meeting the vPvB criteria of REACH regulation, in accordance with Annex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(ethoxymethoxy)cyclododecane (58567-11-6)</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3"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geraniol ; (ethoxymethoxy)cyclododecane ; acetyl cedrene ; [3R-(3α,3aβ,6α,7β,8aα)]-octahydro-3,6,8,8-tetramethyl-1H-3a,7-methanoazulen-5-yl acetate ; linalool ; benzyl salicylate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benzyl acetate ; (ethoxymethoxy)cyclododecane ; acetyl cedrene ; [3R-(3α,3aβ,6α,7β,8aα)]-octahydro-3,6,8,8-tetramethyl-1H-3a,7-methanoazulen-5-yl acetate ; benzyl salicylate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(oral),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 hazard, Category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be fatal if swallowed and enters airways.</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damage.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9/7/2026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9/7/2026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bois flotté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bois flotté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9/7/2026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326A5EE9-A645-48DD-9F72-A3FDD514B8C9}"/>
</file>

<file path=customXml/itemProps3.xml><?xml version="1.0" encoding="utf-8"?>
<ds:datastoreItem xmlns:ds="http://schemas.openxmlformats.org/officeDocument/2006/customXml" ds:itemID="{3F0FDC3D-3851-4E23-866C-702DF2661AB8}"/>
</file>

<file path=customXml/itemProps4.xml><?xml version="1.0" encoding="utf-8"?>
<ds:datastoreItem xmlns:ds="http://schemas.openxmlformats.org/officeDocument/2006/customXml" ds:itemID="{C6044BD8-8DCD-4C65-8388-7E53D85035ED}"/>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