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bois de santal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methyl cedryl ether, 1-(1,2,3,4,5,6,7,8-octahydro-2,3,8,8-tetramethyl-2-naphthyl)ethan-1-one, coumarin, cashmeran.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0.5383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0.5383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0.3234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Musk. Sandalwood. Amber.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bodyweight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bodyweight Animal: rat, Animal sex: female, Guideline: OECD Guideline 401 (Acute Oral Toxicity), 95% CL: 2043 - 3529</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bodyweight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bodyweight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(animal/male,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bodyweight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cashmeran (33704-61-9)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bois de santal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bois de santal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methyl cedryl ether, 1-(1,2,3,4,5,6,7,8-octahydro-2,3,8,8-tetramethyl-2-naphthyl)ethan-1-one, coumarin, cashmeran.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bois de santal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bois de santal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E9FE351-FF39-49B7-B678-4C462A6CE651}"/>
</file>

<file path=customXml/itemProps3.xml><?xml version="1.0" encoding="utf-8"?>
<ds:datastoreItem xmlns:ds="http://schemas.openxmlformats.org/officeDocument/2006/customXml" ds:itemID="{8186D6DD-DDCA-4819-83D1-289AD0144A37}"/>
</file>

<file path=customXml/itemProps4.xml><?xml version="1.0" encoding="utf-8"?>
<ds:datastoreItem xmlns:ds="http://schemas.openxmlformats.org/officeDocument/2006/customXml" ds:itemID="{7B814C97-9D70-43AC-B37B-3CA68FD92B71}"/>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