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bois d'olivier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linalyl acetate; alpha-iso-methylionone; 7-hydroxycitronellal; linalool; 1-(1,2,3,4,5,6,7,8-octahydro-2,3,8,8-tetramethyl-2-naphthyl)ethan-1-one; acetyl cedrene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3.703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Woody. Green.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bodyweight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80 mg/kg bodyweight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bois d'olivier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bois d'olivier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7-hydroxycitronellal ; linalool ; 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bois d'olivier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bois d'olivier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46E545B-76CE-4BEF-9567-5B4B0DDA5E4C}"/>
</file>

<file path=customXml/itemProps3.xml><?xml version="1.0" encoding="utf-8"?>
<ds:datastoreItem xmlns:ds="http://schemas.openxmlformats.org/officeDocument/2006/customXml" ds:itemID="{689C14EE-BC3B-4BFD-868D-D35505C33651}"/>
</file>

<file path=customXml/itemProps4.xml><?xml version="1.0" encoding="utf-8"?>
<ds:datastoreItem xmlns:ds="http://schemas.openxmlformats.org/officeDocument/2006/customXml" ds:itemID="{7E55FF6E-7789-4DCA-92C7-F4DA26CC0783}"/>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