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amour dans le pré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cinnamyl alcohol; (ethoxymethoxy)cyclododecane; methyl palmitate; 1-(1,2,3,4,5,6,7,8-octahydro-2,3,8,8-tetramethyl-2-naphthyl)ethan-1-one; cinnamaldehyde;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2.609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Amber. Fruity. Woody.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bodyweight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bodyweight Animal: rat, Animal sex: female, Guideline: OECD Guideline 422 (Combined Repeated Dose Toxicity Study with the Reproduction / Developmental Toxicity Screening Test),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amour dans le pré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Candle amour dans le pré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cinnamyl alcohol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cinnamyl alcohol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amour dans le pré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amour dans le pré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6/15/2026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6C744C2-2434-4CA4-A847-EBCC65A12183}"/>
</file>

<file path=customXml/itemProps3.xml><?xml version="1.0" encoding="utf-8"?>
<ds:datastoreItem xmlns:ds="http://schemas.openxmlformats.org/officeDocument/2006/customXml" ds:itemID="{DAC1A376-B936-4B0A-8467-5C256D6528A0}"/>
</file>

<file path=customXml/itemProps4.xml><?xml version="1.0" encoding="utf-8"?>
<ds:datastoreItem xmlns:ds="http://schemas.openxmlformats.org/officeDocument/2006/customXml" ds:itemID="{2269AA39-D760-4656-B6C7-8BBE0B63E36A}"/>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