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301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Heptanal, 2-(phenylmethylene)-, (2E)-, linalyl acetate, HEXYL CINNAMAL, linalool.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78605-96-6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Not applicable</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301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301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Heptanal, 2-(phenylmethylene)-, (2E)-, linalyl acetate, HEXYL CINNAMAL, linalool.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301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301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3BA9AB6-E8B8-4FBA-9EEF-D1423F796ADF}"/>
</file>

<file path=customXml/itemProps3.xml><?xml version="1.0" encoding="utf-8"?>
<ds:datastoreItem xmlns:ds="http://schemas.openxmlformats.org/officeDocument/2006/customXml" ds:itemID="{B812F1A9-7C79-40AA-A1E3-1FE773D0FFE9}"/>
</file>

<file path=customXml/itemProps4.xml><?xml version="1.0" encoding="utf-8"?>
<ds:datastoreItem xmlns:ds="http://schemas.openxmlformats.org/officeDocument/2006/customXml" ds:itemID="{38F6A836-8DF4-4414-A81A-42030802441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