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210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pentadecan-15-olide,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7.194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EE8DAF" w14:textId="7F7C89E0">
            <w:pPr>
              <w:pStyle w:val="SDSTableTextNormal"/>
              <w:rPr>
                <w:noProof w:val="0"/>
                <w:lang w:val="fr-BE"/>
              </w:rPr>
            </w:pP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63500-71-0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405-040-6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603-101-00-3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pentadecan-15-olide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106-02-5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203-354-6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Vanilla. Fruity. Gourmand. Oriental. balsamic.</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 xml:space="preserve"> (63500-71-0)</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EU Method B.1 (Acute Toxicity (Oral)),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pentadecan-15-olide (106-02-5)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EU Method B.1 tris (Acute Oral Toxicity - Acute Toxic Class Method),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EU Method B.3 (Acute Toxicity (Dermal)),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 xml:space="preserve"> (63500-71-0)</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125 mg/kg bodyweight Animal: rat, Guideline: OECD Guideline 407 (Repeated Dose 28-Day Oral Toxicity Study in Rodents)</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1000 mg/kg bodyweight Animal: rat, Guideline: OECD Guideline 411 (Subchronic Dermal Toxicity: 90-Day Study), Guideline: EU Method B.28 (Sub-Chronic Dermal Toxicity Test: 90-Day Repeated Dermal Dose Study Using Rodent Species)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pentadecan-15-olide (106-02-5)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1000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benzoate (120-51-4)</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210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 xml:space="preserve"> (63500-71-0)</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 320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100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pentadecan-15-olide (106-02-5)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&gt; 0.797 mg/l Test organisms (species): Oncorhynchus mykiss (previous name: Salmo gairdneri)</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2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0.17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0.4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0.47 mg/l Test organisms (species): Desmodesmus subspicatus (previous name: Scenedesmus subspicatus)</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0.127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0.068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0.027 mg/l Test organisms (species): Pimephales promelas Duration: '33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210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 xml:space="preserve"> (63500-71-0)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pentadecan-15-olide (106-02-5)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pentadecan-15-olide, coumarin.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7/28/2026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210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210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7/28/2026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FA5A2F0-A7AB-4E78-B7A1-7C5F175620D8}"/>
</file>

<file path=customXml/itemProps3.xml><?xml version="1.0" encoding="utf-8"?>
<ds:datastoreItem xmlns:ds="http://schemas.openxmlformats.org/officeDocument/2006/customXml" ds:itemID="{D8FBFE96-F37D-416B-94F5-ADD650F8A40D}"/>
</file>

<file path=customXml/itemProps4.xml><?xml version="1.0" encoding="utf-8"?>
<ds:datastoreItem xmlns:ds="http://schemas.openxmlformats.org/officeDocument/2006/customXml" ds:itemID="{ADBE786B-8E55-4261-B8E5-2C397F0AA519}"/>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