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cupcake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substance with a Community workplace exposure limit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(Oral), H302 (ATE=500 mg/kg bodyweight)</w:t>
              <w:br/>
              <w:t>Acute Tox. 3 (Inhalation),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B077C8" w:rsidRPr="0069446B" w:rsidP="00B077C8" w14:paraId="76C830A6" w14:textId="7C05BC4C">
      <w:pPr>
        <w:pStyle w:val="SDSTextHeading3"/>
        <w:rPr>
          <w:noProof w:val="0"/>
          <w:color w:val="auto"/>
          <w:lang w:val="en-US"/>
        </w:rPr>
      </w:pPr>
      <w:r w:rsidRPr="0069446B">
        <w:rPr>
          <w:noProof/>
          <w:color w:val="auto"/>
          <w:lang w:val="en-US"/>
        </w:rPr>
        <w:t>National occupational exposure and biological limit values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Indicative Occupational Exposure Limit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Local name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Regulatory reference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bl>
    <w:bookmarkStart w:id="1" w:name="_Hlk205902293"/>
    <w:bookmarkEnd w:id="1"/>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Vanilla. Gourmand. milk.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sidR="00FA7F7F">
              <w:rPr>
                <w:noProof/>
              </w:rPr>
              <w:t>STOT-repeated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May cause damage to organs through prolonged or repeated exposure.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cupcake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cupcake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Repeated exposure,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Highly flammable liquid and vapour.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damage to organs through prolonged or repeated exposure.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cupcake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cupcake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F538868-1C70-40FB-B427-892A9DB43842}"/>
</file>

<file path=customXml/itemProps3.xml><?xml version="1.0" encoding="utf-8"?>
<ds:datastoreItem xmlns:ds="http://schemas.openxmlformats.org/officeDocument/2006/customXml" ds:itemID="{AFBFD7A0-2817-4406-ACF6-8B26F192E1F2}"/>
</file>

<file path=customXml/itemProps4.xml><?xml version="1.0" encoding="utf-8"?>
<ds:datastoreItem xmlns:ds="http://schemas.openxmlformats.org/officeDocument/2006/customXml" ds:itemID="{2DF87D31-8562-4E61-BC61-62B50D08942D}"/>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