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calanque de cassis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METHYLENEDIOXYPHENYL METHYLPROPANAL, linalyl acetate, 3,7-dimethylnona-1,6-dien-3-ol, citral, linalool, LIMONENE, acetyl cedrene.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3,824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Aquatic Acute 1, H400</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Farn. Hesperidaceae. Bernstein. Marine.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1-(5,6,7,8-tetrahydro-3,5,5,6,8,8-hexamethyl-2-naphthyl)ethan-1-one (1506-02-1)</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920 mg/kg Körpergewicht Animal: rat, Guideline: OECD Guideline 401 (Acute Oral Toxicity), 95% CL: 795 - 1066</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7940 mg/kg Körpergewicht Animal: rat, Animal sex: female, 95% CL: 4890 - 12900</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Körpergewicht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80 mg/kg Körpergewicht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1-(5,6,7,8-tetrahydro-3,5,5,6,8,8-hexamethyl-2-naphthyl)ethan-1-one (1506-02-1)</w:t>
            </w:r>
          </w:p>
        </w:tc>
      </w:tr>
      <w:tr w14:paraId="32F42FC1"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 10 mg/kg Körpergewicht Animal: rat,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calanque de cassis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0,23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0,087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1-(5,6,7,8-tetrahydro-3,5,5,6,8,8-hexamethyl-2-naphthyl)ethan-1-one (1506-02-1)</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1,49 mg/l Test organisms (species): Lepomis macrochirus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calanque de cassis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1-(5,6,7,8-tetrahydro-3,5,5,6,8,8-hexamethyl-2-naphthyl)ethan-1-one (1506-02-1)</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linalyl acetate ; linalool ; d-limonene ; benzyl benzoate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benzyl benzoate ; 1,3,4,6,7,8-hexahydro-4,6,6,7,8,8-hexamethylindeno[5,6-c]pyran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METHYLENEDIOXYPHENYL METHYLPROPANAL, linalyl acetate, 3,7-dimethylnona-1,6-dien-3-ol, citral, linalool, LIMONENE, acetyl cedrene.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23.07.2026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calanque de cassis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calanque de cassis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23.07.2026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5AF6584-47A2-4B00-A4AD-F443C2B2C940}"/>
</file>

<file path=customXml/itemProps3.xml><?xml version="1.0" encoding="utf-8"?>
<ds:datastoreItem xmlns:ds="http://schemas.openxmlformats.org/officeDocument/2006/customXml" ds:itemID="{DC6001B3-74A8-466A-958F-713679545530}"/>
</file>

<file path=customXml/itemProps4.xml><?xml version="1.0" encoding="utf-8"?>
<ds:datastoreItem xmlns:ds="http://schemas.openxmlformats.org/officeDocument/2006/customXml" ds:itemID="{9BF06EC8-150C-4DCD-B6E5-278DB48410CA}"/>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