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bubble gum fraise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d-limonene; carvone; (E)-anethole;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(ATE=280 mg/kg Körpergewicht)</w:t>
              <w:br/>
              <w:t>Acute Tox. 3 (Dermal), H311 (ATE=820 mg/kg Körpergewicht)</w:t>
              <w:br/>
              <w:t>Acute Tox. 3 (Inhalativ), H331 (ATE=0,5 mg/l/4h)</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EU - Richt-Arbeitsplatzgrenzwert (IOEL)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 ether</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Vanille. Minze.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Körpergewicht Animal: guinea pig, Guideline: OECD Guideline 401 (Acute Oral Toxicity), 95% CL: 246 - 319</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820 mg/kg Körpergewicht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(E)-anethole (4180-23-8)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bubble gum fraise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bubble gum fraise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hexanoate ; (E)-anethole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hexanoate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(dermal), Kategorie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Einatmen.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bubble gum fraise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bubble gum fraise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3066736-FA8E-4245-8879-510629207434}"/>
</file>

<file path=customXml/itemProps3.xml><?xml version="1.0" encoding="utf-8"?>
<ds:datastoreItem xmlns:ds="http://schemas.openxmlformats.org/officeDocument/2006/customXml" ds:itemID="{5FEFFA8B-548E-4D5D-A9B5-D5EB49BE7509}"/>
</file>

<file path=customXml/itemProps4.xml><?xml version="1.0" encoding="utf-8"?>
<ds:datastoreItem xmlns:ds="http://schemas.openxmlformats.org/officeDocument/2006/customXml" ds:itemID="{017973C1-7996-4389-A403-7BA9B9CEADD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