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Vieux rhum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(Inhalativ), H332 (ATE=1,5 mg/l/4h)</w:t>
              <w:br/>
              <w:t>Skin Irrit. 2, H315</w:t>
              <w:br/>
              <w:t>Eye Dam. 1, H318</w:t>
              <w:br/>
              <w:t>STOT SE 3, H335</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Biologische Grenzwerte (TRGS 903)</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Propan-2-ol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Biologischer Grenzwert</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25 mg/l Parameter: Aceton - Untersuchungsmaterial: B = Vollblut - Probenahmezeitpunkt: b) Expositionsende, bzw. Schichtende - Festlegung/Begründung: 11/2012 DFG</w:t>
              <w:br/>
              <w:t>25 mg/l Parameter: Aceton - Untersuchungsmaterial: U = Urin - Probenahmezeitpunkt: b) Expositionsende, bzw. Schichtende - Festlegung/Begründung: 11/2012 DFG</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 903</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3-Methylbutan-1-ol</w:t>
            </w:r>
          </w:p>
        </w:tc>
      </w:tr>
      <w:tr w14:paraId="70951C5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 mg/m³</w:t>
            </w:r>
          </w:p>
        </w:tc>
      </w:tr>
      <w:tr w14:paraId="70951C5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5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5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Charakteristisch. Frisch. Holzig.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isoamyl alcohol (123-51-3)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Körpergewicht Animal: rat, Animal sex: male, Guideline: OECD Guideline 443 (Extended One-Generation Reproductive Toxicity Study)</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1521 mg/kg Körpergewicht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Vieux rhum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isoamyl alcohol (123-51-3)</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173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Vieux rhum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Vieux rhum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Vieux rhum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17.07.2026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57BF25B-0C4F-409B-B91F-D2B2E826533D}"/>
</file>

<file path=customXml/itemProps3.xml><?xml version="1.0" encoding="utf-8"?>
<ds:datastoreItem xmlns:ds="http://schemas.openxmlformats.org/officeDocument/2006/customXml" ds:itemID="{439239F0-69D9-4A76-A502-97CBF856A559}"/>
</file>

<file path=customXml/itemProps4.xml><?xml version="1.0" encoding="utf-8"?>
<ds:datastoreItem xmlns:ds="http://schemas.openxmlformats.org/officeDocument/2006/customXml" ds:itemID="{111CC56B-8AF7-4B4C-A2C2-975674774FDB}"/>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