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Tomate et basilic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CINNAMAL, Isoeugenol, 2,4-Dimethylcyclohex-3-en-1-carbaldehyd, linalool.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0,1393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0,00644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Grün. Blumig.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cinnamaldehyde (104-55-2)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Körpergewicht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Tomate et basilic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Tomate et basilic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cinnamaldehyde (104-55-2)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2,4-dimethylcyclohex-3-ene-1-carbaldehyde (68039-49-6)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cinnamaldehyde ; isoeugenol ; 2,4-dimethylcyclohex-3-ene-1-carbaldehyde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 ; 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nwg, Nicht wassergefährdend (Unterliegt nicht der Verordnung über Anlagen zum Umgang mit wassergefährdenden Stoffen (AwSV)).</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CINNAMAL, Isoeugenol, 2,4-Dimethylcyclohex-3-en-1-carbaldehyd, linalool.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Tomate et basilic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Tomate et basilic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11.06.2026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B22F3F5-84B1-4A28-B285-CC317C1F8746}"/>
</file>

<file path=customXml/itemProps3.xml><?xml version="1.0" encoding="utf-8"?>
<ds:datastoreItem xmlns:ds="http://schemas.openxmlformats.org/officeDocument/2006/customXml" ds:itemID="{8264017F-C672-46C3-A630-D2876716CB30}"/>
</file>

<file path=customXml/itemProps4.xml><?xml version="1.0" encoding="utf-8"?>
<ds:datastoreItem xmlns:ds="http://schemas.openxmlformats.org/officeDocument/2006/customXml" ds:itemID="{FCD178AF-FD6B-47E5-AE6A-898BCDB584B7}"/>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