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Tiramisu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Duftzusammensetzung (Duft).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METHYLCINNAMIC ALDEHYDE, CINNAMAL.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4,1734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0,8407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Unter normalen Umständen keine.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EU - Richt-Arbeitsplatzgrenzwert (IOEL)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 ether</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Würzig.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Körpergewicht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Körpergewicht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(Tier, weiblich,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Körpergewicht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sidR="00FA7F7F">
              <w:rPr>
                <w:noProof/>
                <w:lang w:val="fr-BE"/>
              </w:rPr>
              <w:t>1000 mg/kg Körpergewicht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Tiramisu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METHYLCINNAMIC ALDEHYDE, CINNAMAL.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Tiramisu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Tiramisu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31.07.2026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B8C9E00-A629-44C4-A805-B42874E88234}"/>
</file>

<file path=customXml/itemProps3.xml><?xml version="1.0" encoding="utf-8"?>
<ds:datastoreItem xmlns:ds="http://schemas.openxmlformats.org/officeDocument/2006/customXml" ds:itemID="{F2A221D5-C72E-4266-B363-6649A4236EC3}"/>
</file>

<file path=customXml/itemProps4.xml><?xml version="1.0" encoding="utf-8"?>
<ds:datastoreItem xmlns:ds="http://schemas.openxmlformats.org/officeDocument/2006/customXml" ds:itemID="{D79727BF-BFC1-4DA3-BC32-19B282FCB99C}"/>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