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Tilleul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Darf nicht in die Hände von Kindern gelangen.</w:t>
              <w:br/>
              <w:t>P101 - Ist ärztlicher Rat erforderlich, Verpackung oder Kennzeichnungsetikett bereithalten.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3,7-dimethylnona-1,6-dien-3-ol, linalyl acetate.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Honigtau.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Tilleul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Tilleul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3,7-dimethylnona-1,6-dien-3-ol (10339-55-6)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Schwere Augenschädigung/Augenreizung, Kategorie 2</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3,7-dimethylnona-1,6-dien-3-ol, linalyl acetate.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Tilleul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Tilleul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E04E408-D0BF-4930-8512-D0C85CE334D4}"/>
</file>

<file path=customXml/itemProps3.xml><?xml version="1.0" encoding="utf-8"?>
<ds:datastoreItem xmlns:ds="http://schemas.openxmlformats.org/officeDocument/2006/customXml" ds:itemID="{6E19D2EC-B7EE-4F40-8E78-C2578C83A715}"/>
</file>

<file path=customXml/itemProps4.xml><?xml version="1.0" encoding="utf-8"?>
<ds:datastoreItem xmlns:ds="http://schemas.openxmlformats.org/officeDocument/2006/customXml" ds:itemID="{C197747E-8DAE-40E7-A64A-7AC771503FD4}"/>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