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Thé noir et vanille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1-(1,2,3,4,5,6,7,8-octahydro-2,3,8,8-tetramethyl-2-naphthyl)ethan-1-one; Eugenol; linalool; d-limonene; coumarin; benzyl alcohol; p-methoxybenzyl acetate; anisyl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2,706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105-13-5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203-273-6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Orientalisch. balsamartig. Würzig. Tabak.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Körpergewicht Animal: rat, Guideline: OECD Guideline 401 (Acute Oral Toxicity), 95% CL: 2755 - 3600</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anisyl alcohol (105-13-5)</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3000 mg/kg Körpergewicht Animal: rabbit, Guideline: OECD Guideline 402 (Acute Dermal Toxicity), 95% CL: 1940 - 4060</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Körpergewicht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Körpergewicht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anisyl alcohol (105-13-5)</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OECD Guideline 422 (Combined Repeated Dose Toxicity Study with the Reproduction / Developmental Toxicity Screening Test)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Thé noir et vanille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1,53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anisyl alcohol (105-13-5)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64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141 mg/l Test organisms (species): Raphidocelis subcapitata (previous names: Pseudokirchneriella subcapitata, Selenastrum capricornutum)</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64,2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Thé noir et vanille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anisyl alcohol (105-13-5)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 MEERESSCHADSTOFF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Kennzeichnung umweltgefährdender Stoff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Kennzeichnung umweltgefährdender Stoff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Kennzeichnung umweltgefährdender Stoff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Kennzeichnung umweltgefährdender Stoff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5" name="" descr="Kennzeichnung umweltgefährdender Stoff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Ja</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7"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cinnamaldehyde ; Eugenol ; linalool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1,3,4,6,7,8-hexahydro-4,6,6,7,8,8-hexamethylindeno[5,6-c]pyran ; 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Thé noir et vanille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Thé noir et vanille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22.06.2026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63212B3-14AD-4841-AD83-C50A4F398DCE}"/>
</file>

<file path=customXml/itemProps3.xml><?xml version="1.0" encoding="utf-8"?>
<ds:datastoreItem xmlns:ds="http://schemas.openxmlformats.org/officeDocument/2006/customXml" ds:itemID="{C074DE8D-9907-40AB-99C9-C15EF7949ABB}"/>
</file>

<file path=customXml/itemProps4.xml><?xml version="1.0" encoding="utf-8"?>
<ds:datastoreItem xmlns:ds="http://schemas.openxmlformats.org/officeDocument/2006/customXml" ds:itemID="{2EC01913-0C7B-4BD4-869F-24C5F2AA09E7}"/>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