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Thé glacé pêche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ein Sortierzentrum, gemäß den lokalen Vorschriften.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linalool, linalyl acetate, TETRAHYDROLINALOOL, citronellol, geranyl acetate.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Fruchtig. Blumig.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Körpergewicht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acetate (105-87-3)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6330 mg/kg Körpergewicht Animal: rat, 95% CL: 5450 - 7340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geranyl acetate (105-87-3)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Thé glacé pêche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acetate (105-87-3)</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68,12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Thé glacé pêche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acetate (105-87-3)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linalool ; linalyl acetate ; 3,7-dimethyloctan-3-ol ; 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Chronisch gewässergefährdend, Kategorie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linalool, linalyl acetate, TETRAHYDROLINALOOL, citronellol, geranyl acetate.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30.03.2026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30.03.2026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Thé glacé pêche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Thé glacé pêche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30.03.2026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F8F304F-0C7A-4320-BB6F-BFBEE7D48799}"/>
</file>

<file path=customXml/itemProps3.xml><?xml version="1.0" encoding="utf-8"?>
<ds:datastoreItem xmlns:ds="http://schemas.openxmlformats.org/officeDocument/2006/customXml" ds:itemID="{FB427EB1-5678-47E0-A4E1-794CE739DC95}"/>
</file>

<file path=customXml/itemProps4.xml><?xml version="1.0" encoding="utf-8"?>
<ds:datastoreItem xmlns:ds="http://schemas.openxmlformats.org/officeDocument/2006/customXml" ds:itemID="{5DA0A3CE-AE8B-4F15-864B-55BF8B5ED01D}"/>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