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Thé glacé pêche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ein Sortierzentrum, gemäß den lokalen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TETRAHYDROLINALOOL, citronellol, geranyl acetate.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104-67-6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undecan-4-olide (104-67-6)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Körpergewicht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Körpergewicht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Körpergewicht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Thé glacé pêche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3,7-dimethyloctan-3-ol (78-69-3)</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undecan-4-olide (104-67-6)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5,853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Thé glacé pêche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undecan-4-olide (104-67-6)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TETRAHYDROLINALOOL, citronellol, geranyl acetate.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Thé glacé pêche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Thé glacé pêche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30.03.2026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CC0CA21-1BFA-4286-B23F-584A7F02E4FF}"/>
</file>

<file path=customXml/itemProps3.xml><?xml version="1.0" encoding="utf-8"?>
<ds:datastoreItem xmlns:ds="http://schemas.openxmlformats.org/officeDocument/2006/customXml" ds:itemID="{AAFB5191-B23D-40D6-A52F-BAAD31C9B3F5}"/>
</file>

<file path=customXml/itemProps4.xml><?xml version="1.0" encoding="utf-8"?>
<ds:datastoreItem xmlns:ds="http://schemas.openxmlformats.org/officeDocument/2006/customXml" ds:itemID="{BD315027-DA13-45DC-ACDB-16290471045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