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Thé chaï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Methylcedrylether; coumarin; cineole; alpha-iso-methylionone; cashmeran;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Tee.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Körpergewicht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600 mg/kg Körpergewicht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Thé chaï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Thé chaï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Thé chaï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Thé chaï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29.07.2026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9C1AD63-F210-47D0-9EE1-B9DFC0573C18}"/>
</file>

<file path=customXml/itemProps3.xml><?xml version="1.0" encoding="utf-8"?>
<ds:datastoreItem xmlns:ds="http://schemas.openxmlformats.org/officeDocument/2006/customXml" ds:itemID="{435840A9-C29D-40D5-9446-F9E118BA12BE}"/>
</file>

<file path=customXml/itemProps4.xml><?xml version="1.0" encoding="utf-8"?>
<ds:datastoreItem xmlns:ds="http://schemas.openxmlformats.org/officeDocument/2006/customXml" ds:itemID="{5114A044-E548-4BEA-A269-45D0C4CBD68F}"/>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