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Spiced pumpkin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Schwere Augenschädigung/Augenreizung,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Sensibilisierung der Haut, Kategorie 1A</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H319 - Verursacht schwere Augenreizung.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P261 - Einatmen von Dampf, Nebel, Rauch, Staub, Gas, Aerosol vermeiden.</w:t>
              <w:br/>
              <w:t>P333+P313 - Bei Hautreizung oder -ausschlag: Ärztlichen Rat einholen/ärztliche Hilfe hinzuziehen.</w:t>
              <w:br/>
              <w:t>P337+P313 - Bei anhaltender Augenreizung: Ärztlichen Rat einholen/ärztliche Hilfe hinzuziehen.</w:t>
              <w:br/>
              <w:t>P362+P364 - Kontaminierte Kleidung ausziehen und vor erneutem Tragen waschen.</w:t>
              <w:br/>
              <w:t>P501 - Inhalt und Behälter ein Sortierzentrum, gemäß den lokalen Vorschriften zuführen.</w:t>
              <w:br/>
              <w:t>P305+P351+P338 - BEI KONTAKT MIT DEN AUGEN: Einige Minuten lang behutsam mit Wasser spülen. Eventuell vorhandene Kontaktlinsen nach Möglichkeit entfernen. Weiter spülen.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Verursacht schwere Augenreizung.</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Spiced pumpkin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p w:rsidR="00827634" w:rsidRPr="0069446B" w:rsidP="009E5102" w14:paraId="7E407F61" w14:textId="77777777">
      <w:pPr>
        <w:pStyle w:val="SDSTextNormal"/>
        <w:bidi w:val="0"/>
        <w:rPr>
          <w:rtl w:val="0"/>
        </w:rPr>
      </w:pPr>
      <w:r w:rsidRPr="0069446B">
        <w:rPr>
          <w:rtl w:val="0"/>
        </w:rPr>
        <w:t>Keine weiteren Informationen verfügbar</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Expertenurteil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Expertenurteil</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Spiced pumpkin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Spiced pumpkin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FBAD215-F800-4DA1-AC6C-6BE7A607EA20}"/>
</file>

<file path=customXml/itemProps3.xml><?xml version="1.0" encoding="utf-8"?>
<ds:datastoreItem xmlns:ds="http://schemas.openxmlformats.org/officeDocument/2006/customXml" ds:itemID="{D465EB5F-5968-49F1-95D7-C038E8A5856F}"/>
</file>

<file path=customXml/itemProps4.xml><?xml version="1.0" encoding="utf-8"?>
<ds:datastoreItem xmlns:ds="http://schemas.openxmlformats.org/officeDocument/2006/customXml" ds:itemID="{EAA17115-2FE2-440D-B038-9568F941427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