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Savon de Marseille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DIPHENYL ETHER, linalool, linalyl acetate, CITRONELLAL, coumarin, cineole, Geraniol; (2E)-3,7-Dimethylocta-2,6-dien-1-ol, ISOBORNEOL.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Orange. Blumig.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citronellal (106-23-0)</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Körpergewicht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Savon de Marseille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Savon de Marseille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citronellal ; cineole ; geraniol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DIPHENYL ETHER, linalool, linalyl acetate, CITRONELLAL, coumarin, cineole, Geraniol; (2E)-3,7-Dimethylocta-2,6-dien-1-ol, ISOBORNEOL.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Savon de Marseille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Savon de Marseille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1855465-706A-484A-85F4-B70BED6268BC}"/>
</file>

<file path=customXml/itemProps3.xml><?xml version="1.0" encoding="utf-8"?>
<ds:datastoreItem xmlns:ds="http://schemas.openxmlformats.org/officeDocument/2006/customXml" ds:itemID="{6B95BC8F-A261-4BF1-842D-2C2116D5B3F2}"/>
</file>

<file path=customXml/itemProps4.xml><?xml version="1.0" encoding="utf-8"?>
<ds:datastoreItem xmlns:ds="http://schemas.openxmlformats.org/officeDocument/2006/customXml" ds:itemID="{4E66E629-C3C7-4668-807E-D941D5DDFFCF}"/>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