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Romarin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Entzündbarer Feststoff. Kann allergische Hautreaktionen verursachen. 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cineole; 1-(1,2,3,4,5,6,7,8-octahydro-2,3,8,8-tetramethyl-2-naphthyl)ethan-1-one; pin-2(3)-ene; caryophyllene; d-limonene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470-82-6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2,582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3, H226</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camphene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79-92-5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201-234-8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Sol. 1, H228</w:t>
              <w:br/>
              <w:t>Eye Irrit. 2, H319</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pin-2(3)-ene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80-56-8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201-291-9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(Oral), H302 (ATE=500 mg/kg Körpergewicht)</w:t>
              <w:br/>
              <w:t>Skin Irrit. 2, H315</w:t>
              <w:br/>
              <w:t>Skin Sens. 1B, H317</w:t>
              <w:br/>
              <w:t>Asp. Tox. 1, H304</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caryophyllene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87-44-5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201-746-1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Asp. Tox. 1, H304</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Entzündbarer Feststoff.</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Kein offenes Feuer, keine Funken und nicht rauchen.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Das Produkt mechanisch aufnehmen. Falls das Produkt in die Kanalisation oder öffentliche Gewässer gelangt, sind die Behörden zu benachrichtigen.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Von Hitze, heißen Oberflächen, Funken, offenen Flammen sowie anderen Zündquellenarten fernhalten. Nicht rauchen. Behälter und zu befüllende Anlage erden.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sidR="00FA7F7F">
              <w:rPr>
                <w:noProof/>
              </w:rPr>
              <w:t>Behälter und zu befüllende Anlage erden.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Kühl halten. Vor Sonnenbestrahlung schützen. Fernhalten von: Zündquellen.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Ländlich. Charakteristisch. Zeder.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Nicht verfügbar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sidRPr="0069446B">
        <w:rPr>
          <w:noProof/>
        </w:rPr>
        <w:t>Entzündbarer Feststoff.</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Kontakt mit heißen Oberflächen vermeiden. Wärme. Kein offenes Feuer, keine Funken. Alle Zündquellen entfernen.</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camphene (79-92-5)</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pin-2(3)-ene (80-56-8)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caryophyllene (87-44-5)</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&gt; 5000 mg/kg Körpergewicht Animal: mouse, Animal sex: male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cineole (470-82-6)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600 mg/kg Körpergewicht Animal: rat, Animal sex: female, Guideline: other:, Guideline: OECD Guideline 407 (Repeated Dose 28-Day Oral Toxicity Study in Rodents), Guideline: EPA OPPTS 870.3150 (90-Day Oral Toxicity in Non-rodents)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Romarin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cineole (470-82-6)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57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&gt; 100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camphene (79-92-5)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0,72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0,72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1,75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pin-2(3)-ene (80-56-8)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0,303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0,475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caryophyllene (87-44-5)</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0,17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0,033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Romarin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cineole (470-82-6)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camphene (79-92-5)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pin-2(3)-ene (80-56-8)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caryophyllene (87-44-5)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cineole ; pin-2(3)-ene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cineole ; pin-2(3)-ene ; caryophyllene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pin-2(3)-ene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Sol.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Feststoffe, Kategorie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Entzündbarer Feststoff.</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20.04.2026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20.04.2026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Romarin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Romarin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20.04.2026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BB4BB87-4049-4EB6-9CA9-8E99579FDE7A}"/>
</file>

<file path=customXml/itemProps3.xml><?xml version="1.0" encoding="utf-8"?>
<ds:datastoreItem xmlns:ds="http://schemas.openxmlformats.org/officeDocument/2006/customXml" ds:itemID="{986024B5-5B05-4035-AAAE-48C724D39342}"/>
</file>

<file path=customXml/itemProps4.xml><?xml version="1.0" encoding="utf-8"?>
<ds:datastoreItem xmlns:ds="http://schemas.openxmlformats.org/officeDocument/2006/customXml" ds:itemID="{5F7139E1-BE17-495E-A796-8E6EFA8524D5}"/>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