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Relaxation à tahiti duft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Sensibilisierung der Haut, Kategorie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Chronisch gewässergefährdend, Kategorie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Kann allergische Hautreaktionen verursachen. Schädlich für Wasserorganismen, mit langfristiger Wirkung.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Enthält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benzyl salicylate; linalyl acetate; piperonal; α-methyl-1,3-benzodioxole-5-propionaldehyde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Kann allergische Hautreaktionen verursachen.</w:t>
              <w:br/>
              <w:t>H412 - Schädlich für Wasserorganismen, mit langfristiger Wirkung.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P273 - Freisetzung in die Umwelt vermeiden.</w:t>
              <w:br/>
              <w:t>P302+P352 - BEI KONTAKT MIT DER HAUT: Mit viel Wasser und Seife waschen.</w:t>
              <w:br/>
              <w:t>P333+P313 - Bei Hautreizung oder -ausschlag: Ärztlichen Rat einholen/ärztliche Hilfe hinzuziehen.</w:t>
              <w:br/>
              <w:t>P501 - Inhalt/Behälter ein Sortierzentrum, gemäß den lokalen Vorschriften zuführen.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Komponente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Stoffe, die die PBT-Kriterien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Stoffe, die die vPvB-Kriterien gemäß REACH Anhang XIII nicht erfüllen</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118-58-1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204-262-9</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2,005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Eye Irrit. 2, H319</w:t>
              <w:br/>
              <w:t>Skin Sens. 1B, H317</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piperonal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204-409-7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α-methyl-1,3-benzodioxole-5-propionaldehyde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1205-17-0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214-881-6</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605-042-00-9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(ATE=1570 mg/kg)</w:t>
              <w:br/>
              <w:t>Eye Irrit. 2, H319</w:t>
              <w:br/>
              <w:t>Skin Sens. 1B,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Haut mit viel Wasser abwaschen. Kontaminierte Kleidung ausziehen. Bei Hautreizung oder -ausschlag: Ärztlichen Rat einholen/ärztliche Hilfe hinzuziehen.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Kann allergische Hautreaktionen verursachen.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 Einatmen von Staub/Rauch/Gas/Nebel/Dampf/Aerosol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Einatmen von Staub/Rauch/Gas/Nebel/Dampf/Aerosol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Kontaminierte Arbeitskleidung nicht außerhalb des Arbeitsplatzes tragen. Kontaminierte Kleidung vor erneutem Tragen waschen. 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Benzylalkohol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Moschus. Marine.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piperonal (120-57-0)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2700 mg/kg Körpergewicht Animal: rat, Guideline: OECD Guideline 401 (Acute Oral Toxicity), 95% CL: 2350 - 3100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Körpergewicht Animal: rat, Guideline: other:,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Körpergewicht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α-methyl-1,3-benzodioxole-5-propionaldehyde (1205-17-0)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Körpergewicht Animal: mouse, Guideline: OECD Guideline 401 (Acute Oral Toxicity), 95% CL: 1410 - 1770</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Körpergewicht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Kann allergische Hautreaktionen verursachen.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Körpergewicht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α-methyl-1,3-benzodioxole-5-propionaldehyde (1205-17-0)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(Tier, männlich,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750 mg/kg Körpergewicht Animal: rat, Animal sex: male, Guideline: OECD Guideline 422 (Combined Repeated Dose Toxicity Study with the Reproduction / Developmental Toxicity Screening Test)</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100 mg/kg Körpergewicht Animal: rat, Animal sex: female, Guideline: OECD Guideline 422 (Combined Repeated Dose Toxicity Study with the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Körpergewicht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piperonal (120-57-0)</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300 mg/kg Körpergewicht Animal: rat, Guideline: OECD Guideline 422 (Combined Repeated Dose Toxicity Study with the Reproduction / Developmental Toxicity Screening Test),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Körpergewicht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Relaxation à tahiti duft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Angaben über sonstige Gefahren</w:t>
      </w:r>
      <w:bookmarkEnd w:id="4"/>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Schädlich für Wasserorganismen, mit langfristiger Wirkung.</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Schädlich für Wasserorganismen, mit langfristiger Wirkung.</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benzyl salicylate (118-58-1)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1,03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piperonal (120-57-0)</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Cyprinus carpio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52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31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α-methyl-1,3-benzodioxole-5-propionaldehyde (1205-17-0)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5,3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8,3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28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Relaxation à tahiti duft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benzyl salicylate (118-58-1)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piperonal (120-57-0)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α-methyl-1,3-benzodioxole-5-propionaldehyde (1205-17-0)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Komponente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Stoffe, die die PBT-Kriterien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Stoffe, die die vPvB-Kriterien gemäß REACH Anhang XIII nicht erfüllen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5"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‚ökotoxisch‘: Abfall, der unmittelbare oder mittelbare Gefahren für einen oder mehrere Umweltbereiche darstellt oder darstellen kann.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linalyl acetate ; α-methyl-1,3-benzodioxole-5-propionaldehyde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α-methyl-1,3-benzodioxole-5-propionaldehyde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Stoffe, die in der Drogen-Ausgangsstoff-Verordnung gelistet sind (EG 273/2004, Stoffe die bei der unerlaubten Herstellung von Suchtstoffen und psychotropen Substanzen verwendet werden)</w:t>
            </w:r>
          </w:p>
        </w:tc>
      </w:tr>
    </w:tbl>
    <w:tbl>
      <w:tblPr>
        <w:tblStyle w:val="SDSTableWithBordersWithHeaderRow"/>
        <w:tblW w:w="10490" w:type="dxa"/>
        <w:tblLayout w:type="fixed"/>
        <w:tblLook w:val="04A0"/>
      </w:tblPr>
      <w:tblGrid>
        <w:gridCol w:w="2267"/>
        <w:gridCol w:w="1275"/>
        <w:gridCol w:w="1276"/>
        <w:gridCol w:w="1418"/>
        <w:gridCol w:w="1418"/>
        <w:gridCol w:w="1418"/>
        <w:gridCol w:w="1418"/>
      </w:tblGrid>
      <w:tr w14:paraId="0B83201E" w14:textId="77777777" w:rsidTr="005C557D">
        <w:tblPrEx>
          <w:tblW w:w="10490" w:type="dxa"/>
          <w:tblLayout w:type="fixed"/>
          <w:tblLook w:val="04A0"/>
        </w:tblPrEx>
        <w:trPr>
          <w:tblHeader/>
        </w:trPr>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D104D90" w14:textId="15A02BD9">
            <w:pPr>
              <w:pStyle w:val="SDSTableTextHeading1"/>
              <w:rPr>
                <w:noProof w:val="0"/>
                <w:color w:val="auto"/>
              </w:rPr>
            </w:pPr>
            <w:r w:rsidRPr="0069446B" w:rsidR="00FA7F7F">
              <w:rPr>
                <w:noProof/>
                <w:color w:val="auto"/>
              </w:rPr>
              <w:t>Name</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57C5252" w14:textId="5225E603">
            <w:pPr>
              <w:pStyle w:val="SDSTableTextHeading1"/>
              <w:rPr>
                <w:noProof w:val="0"/>
                <w:color w:val="auto"/>
              </w:rPr>
            </w:pPr>
            <w:r w:rsidRPr="0069446B" w:rsidR="00FA7F7F">
              <w:rPr>
                <w:noProof/>
                <w:color w:val="auto"/>
              </w:rPr>
              <w:t>CN-Bezeichnung</w:t>
            </w: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D6EF8CB" w14:textId="6606C847">
            <w:pPr>
              <w:pStyle w:val="SDSTableTextHeading1"/>
              <w:rPr>
                <w:noProof w:val="0"/>
                <w:color w:val="auto"/>
              </w:rPr>
            </w:pPr>
            <w:r w:rsidRPr="0069446B" w:rsidR="00FA7F7F">
              <w:rPr>
                <w:noProof/>
                <w:color w:val="auto"/>
              </w:rPr>
              <w:t>CAS-Nr.</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54B57E4" w14:textId="78E35A93">
            <w:pPr>
              <w:pStyle w:val="SDSTableTextHeading1"/>
              <w:rPr>
                <w:noProof w:val="0"/>
                <w:color w:val="auto"/>
              </w:rPr>
            </w:pPr>
            <w:r w:rsidRPr="0069446B" w:rsidR="00FA7F7F">
              <w:rPr>
                <w:noProof/>
                <w:color w:val="auto"/>
              </w:rPr>
              <w:t>CN-Code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96366" w:rsidRPr="0069446B" w:rsidP="00E96366" w14:paraId="53D256F7" w14:textId="6CCA77A9">
            <w:pPr>
              <w:pStyle w:val="SDSTableTextHeading1"/>
              <w:rPr>
                <w:noProof w:val="0"/>
                <w:color w:val="auto"/>
              </w:rPr>
            </w:pPr>
            <w:r w:rsidRPr="0069446B" w:rsidR="00FA7F7F">
              <w:rPr>
                <w:noProof/>
                <w:color w:val="auto"/>
              </w:rPr>
              <w:t>Kategorie,</w:t>
            </w:r>
          </w:p>
          <w:p w:rsidR="00A65092" w:rsidRPr="0069446B" w:rsidP="00E96366" w14:paraId="26779EFF" w14:textId="63E11907">
            <w:pPr>
              <w:pStyle w:val="SDSTableTextHeading1"/>
              <w:rPr>
                <w:noProof w:val="0"/>
                <w:color w:val="auto"/>
              </w:rPr>
            </w:pPr>
            <w:r w:rsidRPr="0069446B" w:rsidR="00FA7F7F">
              <w:rPr>
                <w:noProof/>
                <w:color w:val="auto"/>
              </w:rPr>
              <w:t>Unterkategorie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61B55F5" w14:textId="24B2F796">
            <w:pPr>
              <w:pStyle w:val="SDSTableTextHeading1"/>
              <w:rPr>
                <w:noProof w:val="0"/>
                <w:color w:val="auto"/>
              </w:rPr>
            </w:pPr>
            <w:r w:rsidRPr="0069446B" w:rsidR="00FA7F7F">
              <w:rPr>
                <w:noProof/>
                <w:color w:val="auto"/>
              </w:rPr>
              <w:t>Schwelle</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BD701E" w14:textId="65E28E50">
            <w:pPr>
              <w:pStyle w:val="SDSTableTextHeading1"/>
              <w:rPr>
                <w:noProof w:val="0"/>
                <w:color w:val="auto"/>
              </w:rPr>
            </w:pPr>
            <w:r w:rsidRPr="0069446B" w:rsidR="00FA7F7F">
              <w:rPr>
                <w:noProof/>
                <w:color w:val="auto"/>
              </w:rPr>
              <w:t>Anhang</w:t>
            </w:r>
          </w:p>
        </w:tc>
      </w:tr>
      <w:tr w14:paraId="23D538E0" w14:textId="77777777" w:rsidTr="005C557D">
        <w:tblPrEx>
          <w:tblW w:w="10490" w:type="dxa"/>
          <w:tblLayout w:type="fixed"/>
          <w:tblLook w:val="04A0"/>
        </w:tblPrEx>
        <w:tc>
          <w:tcPr>
            <w:tcW w:w="226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073E40F" w14:textId="559D260D">
            <w:pPr>
              <w:pStyle w:val="SDSTableTextNormal"/>
              <w:rPr>
                <w:noProof w:val="0"/>
              </w:rPr>
            </w:pPr>
            <w:r w:rsidRPr="0069446B" w:rsidR="00FA7F7F">
              <w:rPr>
                <w:noProof/>
              </w:rPr>
              <w:t>Piperonal</w:t>
            </w:r>
          </w:p>
        </w:tc>
        <w:tc>
          <w:tcPr>
            <w:tcW w:w="127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900E007" w14:textId="26A7BDBB">
            <w:pPr>
              <w:pStyle w:val="SDSTableTextNormal"/>
              <w:rPr>
                <w:noProof w:val="0"/>
              </w:rPr>
            </w:pPr>
          </w:p>
        </w:tc>
        <w:tc>
          <w:tcPr>
            <w:tcW w:w="127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19F3871" w14:textId="44E22305">
            <w:pPr>
              <w:pStyle w:val="SDSTableTextNormal"/>
              <w:rPr>
                <w:noProof w:val="0"/>
              </w:rPr>
            </w:pPr>
            <w:r w:rsidRPr="0069446B" w:rsidR="00FA7F7F">
              <w:rPr>
                <w:noProof/>
              </w:rPr>
              <w:t>120-57-0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04454755" w14:textId="57B7AB29">
            <w:pPr>
              <w:pStyle w:val="SDSTableTextNormal"/>
              <w:rPr>
                <w:noProof w:val="0"/>
              </w:rPr>
            </w:pPr>
            <w:r w:rsidRPr="0069446B" w:rsidR="00FA7F7F">
              <w:rPr>
                <w:noProof/>
              </w:rPr>
              <w:t>2932 93 00</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0CE3A27" w14:textId="126BB867">
            <w:pPr>
              <w:pStyle w:val="SDSTableTextNormal"/>
              <w:rPr>
                <w:noProof w:val="0"/>
              </w:rPr>
            </w:pPr>
            <w:r w:rsidRPr="0069446B" w:rsidR="00FA7F7F">
              <w:rPr>
                <w:noProof/>
              </w:rPr>
              <w:t>Kategorie 1</w:t>
            </w: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99E5CD" w14:textId="1DED112B">
            <w:pPr>
              <w:pStyle w:val="SDSTableTextNormal"/>
              <w:rPr>
                <w:noProof w:val="0"/>
              </w:rPr>
            </w:pPr>
          </w:p>
        </w:tc>
        <w:tc>
          <w:tcPr>
            <w:tcW w:w="14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511B839" w14:textId="55BB0BAA">
            <w:pPr>
              <w:pStyle w:val="SDSTableTextNormal"/>
              <w:rPr>
                <w:noProof w:val="0"/>
              </w:rPr>
            </w:pPr>
            <w:r w:rsidRPr="0069446B" w:rsidR="00FA7F7F">
              <w:rPr>
                <w:noProof/>
              </w:rPr>
              <w:t>Anhang I</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(oral),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Reproduktionstoxizität,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vermutlich die Fruchtbarkeit beeinträchtigen oder das Kind im Mutterleib schädigen.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 mit langfristiger Wirkung.</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Berechnungsmethoden</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16.07.2026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Relaxation à tahiti duft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Relaxation à tahiti duft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16.07.2026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1E316BFA-4D2C-4755-B0BF-7C34287F9EAF}"/>
</file>

<file path=customXml/itemProps3.xml><?xml version="1.0" encoding="utf-8"?>
<ds:datastoreItem xmlns:ds="http://schemas.openxmlformats.org/officeDocument/2006/customXml" ds:itemID="{62A8D916-950D-49F1-AC33-B78C0D58AAB6}"/>
</file>

<file path=customXml/itemProps4.xml><?xml version="1.0" encoding="utf-8"?>
<ds:datastoreItem xmlns:ds="http://schemas.openxmlformats.org/officeDocument/2006/customXml" ds:itemID="{766DD991-9FC9-488D-AD10-5960A1076685}"/>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