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Pomme cannelle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Duftzusammensetzung (Duft).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α-methylcinnamaldehyde; 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diethyl malonate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105-53-3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203-305-9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88-41-5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201-828-7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1,842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1,1683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Körpergewicht)</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(ATE=280 mg/kg Körpergewicht)</w:t>
              <w:br/>
              <w:t>Acute Tox. 3 (Dermal), H311 (ATE=820 mg/kg Körpergewicht)</w:t>
              <w:br/>
              <w:t>Acute Tox. 3 (Inhalativ), H331 (ATE=0,5 mg/l/4h)</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Würzig.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0,994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Körpergewicht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Körpergewicht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diethyl malonate (105-53-3)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15794 mg/kg Körpergewicht Animal: rat, Animal sex: male, Guideline: other:</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16960 mg/kg Körpergewicht Animal: rabbit, Animal sex: male,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Pomme cannelle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allyl hexanoate (123-68-2)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0,117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4,6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diethyl malonate (105-53-3)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508,2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&gt; 800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Pomme cannelle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allyl hexanoate (123-68-2)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diethyl malonate (105-53-3)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2-tert-butylcyclohexyl acetate (88-41-5)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p w:rsidR="00A65092" w:rsidRPr="0069446B" w:rsidP="00A65092" w14:paraId="1965DBDA" w14:textId="0FFE3A91">
      <w:pPr>
        <w:pStyle w:val="SDSTextNormal"/>
      </w:pPr>
      <w:r>
        <w:rPr>
          <w:noProof/>
        </w:rPr>
        <w:t>Enthält keine Stoffe, die im REACH-Anhang XVII (Beschränkungsbedingungen) gelistet sind</w:t>
      </w:r>
    </w:p>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18.09.2026 (Überarbeitungsdatum)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18.09.2026 (Überarbeitungsdatum)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Pomme cannelle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0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Pomme cannelle Kerze 10%</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23.04.2026   Überarbeitungsdatum: 18.09.2026   Ersetzt Version vom: 23.04.2026   Version: 5.0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10C9DBE-4E62-470A-BBF7-D7B087FAE670}"/>
</file>

<file path=customXml/itemProps3.xml><?xml version="1.0" encoding="utf-8"?>
<ds:datastoreItem xmlns:ds="http://schemas.openxmlformats.org/officeDocument/2006/customXml" ds:itemID="{6EE67540-1D71-4ED5-9E76-6865A97258E4}"/>
</file>

<file path=customXml/itemProps4.xml><?xml version="1.0" encoding="utf-8"?>
<ds:datastoreItem xmlns:ds="http://schemas.openxmlformats.org/officeDocument/2006/customXml" ds:itemID="{71DA4C8E-901A-4C91-9DD6-CF2F417521D1}"/>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