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Pomme cannelle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Gewerbliche Nutzung,Verwendung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Duftzusammensetzung (Duft).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Körpergewicht)</w:t>
              <w:br/>
              <w:t>Acute Tox. 3 (Dermal), H311 (ATE=820 mg/kg Körpergewicht)</w:t>
              <w:br/>
              <w:t>Acute Tox. 3 (Inhalativ),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Körpergewicht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Körpergewicht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Körpergewicht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Körpergewicht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Körpergewicht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Körpergewicht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(Tier, weiblich,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Körpergewicht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Pomme cannelle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Pomme cannelle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Einatmen.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Pomme cannelle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Pomme cannelle Kerze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23.04.2026   Version: 4.0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BC015E-E42B-4D1D-8246-BD415E036C41}"/>
</file>

<file path=customXml/itemProps3.xml><?xml version="1.0" encoding="utf-8"?>
<ds:datastoreItem xmlns:ds="http://schemas.openxmlformats.org/officeDocument/2006/customXml" ds:itemID="{67429F6B-CC16-4A49-91A6-7BA2BB427186}"/>
</file>

<file path=customXml/itemProps4.xml><?xml version="1.0" encoding="utf-8"?>
<ds:datastoreItem xmlns:ds="http://schemas.openxmlformats.org/officeDocument/2006/customXml" ds:itemID="{5CC60D0A-07E9-4228-B485-1993A22D2F1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