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Pivoine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1-(1,2,3,4,5,6,7,8-octahydro-2,3,8,8-tetramethyl-2-naphthyl)ethan-1-one, linalyl acetate, CITRONELLOL, HYDROXYCITRONELLAL, LIMONENE, ISOEUGENOL.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0,2492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4 (Dermal), H312 (ATE=1100 mg/kg Körpergewicht)</w:t>
              <w:br/>
              <w:t>Acute Tox. 4 (Inhalativ),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Grün. Frisch.</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linalyl acetate (115-95-7)</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sidR="00FA7F7F">
              <w:rPr>
                <w:noProof/>
              </w:rPr>
              <w:t>&gt; 9000 mg/kg Körpergewicht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Körpergewicht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2000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die Atemwege reizen.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Körpergewicht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(inhalativ, Ratte, Staub/Nebel/Rauch,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Körpergewicht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Pr>
                <w:noProof/>
              </w:rPr>
              <w:t>NOAEL (subchronisch, oral, Tier, männlich,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Pivoine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Angaben über sonstige Gefahren</w:t>
      </w:r>
      <w:bookmarkEnd w:id="3"/>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linalyl acetate (115-95-7)</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11 mg/l Test organisms (species): Cyprinus carpio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59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citronellol (106-22-9)</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14,66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17,48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Pivoine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4"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linalyl acetate ; citronellol ; 7-hydroxycitronellal ; d-limonene ; isoeugenol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 gewässergefährdend,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Atemwegsreizung</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die Atemwege reizen.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1-(1,2,3,4,5,6,7,8-octahydro-2,3,8,8-tetramethyl-2-naphthyl)ethan-1-one, linalyl acetate, CITRONELLOL, HYDROXYCITRONELLAL, LIMONENE, ISOEUGENOL.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02.06.2026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02.06.2026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Pivoine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Pivoine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02.06.2026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1E64E7D-CB07-4FA8-8993-E23D679EB3E3}"/>
</file>

<file path=customXml/itemProps3.xml><?xml version="1.0" encoding="utf-8"?>
<ds:datastoreItem xmlns:ds="http://schemas.openxmlformats.org/officeDocument/2006/customXml" ds:itemID="{CD69FB4E-EF62-4638-AF75-D28AC736DC23}"/>
</file>

<file path=customXml/itemProps4.xml><?xml version="1.0" encoding="utf-8"?>
<ds:datastoreItem xmlns:ds="http://schemas.openxmlformats.org/officeDocument/2006/customXml" ds:itemID="{69A293EF-81E0-4AB2-8458-9F7D759B10BE}"/>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