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Pistache kerze 10%</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p w:rsidR="00827634" w:rsidRPr="0069446B" w:rsidP="009E5102" w14:paraId="29F388B8" w14:textId="4336E5B9">
      <w:pPr>
        <w:pStyle w:val="SDSTextNormal"/>
        <w:rPr>
          <w:noProof/>
        </w:rPr>
      </w:pPr>
      <w:r w:rsidRPr="0069446B">
        <w:rPr>
          <w:noProof/>
        </w:rPr>
        <w:t>Nicht eingestuft</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Pr>
          <w:noProof/>
        </w:rPr>
        <w:t>Nach unserem Kenntnisstand birgt dieses Produkt bei Einhaltung guter Arbeitshygiene keine besonderen Risiken.</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P501 - Inhalt und Behälter ein Sortierzentrum, gemäß den lokalen Vorschriften zuführen.</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 Sätze</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Enthält BENZYL SALICYLATE, HELIOTROPINE, CITRAL, HELIOTROPINE, COUMARIN, HEXYL SALICYLATE, ISOAMYL SALICYLATE. Kann allergische Reaktionen hervorrufen.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1"/>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91-64-5</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0,649</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Acute Tox. 4 (Oral), H302 (ATE=500 mg/kg Körpergewicht)</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isopentyl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87-20-7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201-730-4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0,429</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2, H411</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118-58-1</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204-262-9</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607-754-00-5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hexyl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6259-76-3</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228-408-6</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607-772-00-3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H361d</w:t>
              <w:br/>
              <w:t>STOT RE nicht klassifiziert</w:t>
              <w:br/>
              <w:t>Aquatic Acute 1, H400 (M=1)</w:t>
              <w:br/>
              <w:t>Aquatic Chronic 1, H410 (M=1)</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100-52-7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202-860-4</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605-012-00-5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Körpergewicht)</w:t>
              <w:br/>
              <w:t>Acute Tox. 4 (Inhalativ), H332 (ATE=3 mg/l/4h)</w:t>
              <w:br/>
              <w:t>Skin Irrit. 2, H315</w:t>
              <w:br/>
              <w:t>Eye Irrit. 2, H319</w:t>
              <w:br/>
              <w:t>Repr. 2, H361</w:t>
              <w:br/>
              <w:t>STOT SE 3, H335</w:t>
              <w:br/>
              <w:t>Aquatic Chronic 2, H411</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piperonal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120-57-0</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204-409-7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citral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5392-40-5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226-394-6</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605-019-00-3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 H317</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piperonal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120-57-0</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204-409-7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Haut mit viel Wasser abwaschen.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Unter normalen Umständen keine. Staub kann Reizwirkungen in Hautfalten oder bei eng anliegender Kleidung hervorrufen.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Verunreinigten Bereich lüften.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1"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F47A30" w:rsidRPr="0069446B" w:rsidP="00F47A30" w14:paraId="5E1F0244" w14:textId="77777777">
      <w:pPr>
        <w:pStyle w:val="SDSTextNormal"/>
        <w:bidi w:val="0"/>
        <w:rPr>
          <w:rtl w:val="0"/>
          <w:lang w:val="en-US"/>
        </w:rPr>
      </w:pPr>
      <w:r w:rsidRPr="0069446B">
        <w:rPr>
          <w:rtl w:val="0"/>
          <w:lang w:val="en-US"/>
        </w:rPr>
        <w:t>Keine weiteren Informationen verfügbar</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Feinschmecker. Fruchtig. Vanille.</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benzyl salicylate (118-58-1)</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&gt; 2000 mg/kg Körpergewicht Animal: rabbit, Guideline: EU Method B.3 (Acute Toxicity (Dermal))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benzaldehyde (100-52-7)</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 1430 mg/kg Körpergewicht Animal: rat, Animal sex: male, Guideline: OECD Guideline 401 (Acute Oral Toxicity), 95% CL: 1,33 - 1,54</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2000 mg/kg Körpergewicht Animal: rabbit</w:t>
            </w:r>
          </w:p>
        </w:tc>
      </w:tr>
      <w:tr w14:paraId="05EDDE1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5015F8B" w14:textId="6CD23814">
            <w:pPr>
              <w:pStyle w:val="SDSTableTextNormal"/>
              <w:rPr>
                <w:noProof w:val="0"/>
                <w:lang w:val="de-DE"/>
              </w:rPr>
            </w:pPr>
            <w:r w:rsidRPr="0069446B" w:rsidR="00FA7F7F">
              <w:rPr>
                <w:noProof/>
                <w:lang w:val="de-DE"/>
              </w:rPr>
              <w:t>LC50 inhalativ -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BB2100" w14:textId="49CB38F6">
            <w:pPr>
              <w:pStyle w:val="SDSTableTextNormal"/>
              <w:rPr>
                <w:noProof w:val="0"/>
              </w:rPr>
            </w:pPr>
            <w:r w:rsidRPr="0069446B">
              <w:rPr>
                <w:noProof/>
              </w:rPr>
              <w:t>1 – 5 mg/l air Animal: rat, Guideline: OECD Guideline 436 (Acute Inhalation Toxicity: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piperonal (120-57-0)</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2700 mg/kg Körpergewicht Animal: rat, Guideline: OECD Guideline 401 (Acute Oral Toxicity), 95% CL: 2350 - 3100</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&gt; 5000 mg/kg Körpergewicht Animal: rat, Guideline: other:,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citral (5392-40-5)</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 6800 mg/kg Körpergewicht Animal: rat</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sidR="00FA7F7F">
              <w:rPr>
                <w:noProof/>
              </w:rPr>
              <w:t>&gt; 2000 mg/kg Körpergewicht Animal: rat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piperonal (120-57-0)</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2700 mg/kg Körpergewicht Animal: rat, Guideline: OECD Guideline 401 (Acute Oral Toxicity), 95% CL: 2350 - 3100</w:t>
            </w:r>
          </w:p>
        </w:tc>
      </w:tr>
      <w:tr w14:paraId="14A1065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5000 mg/kg Körpergewicht Animal: rat, Guideline: other:,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F"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293 mg/kg Körpergewicht Animal: rat, Guideline: other:</w:t>
            </w:r>
          </w:p>
        </w:tc>
      </w:tr>
      <w:tr w14:paraId="14A1065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293 mg/kg Körpergewicht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60"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hexyl salicylate (6259-76-3)</w:t>
            </w:r>
          </w:p>
        </w:tc>
      </w:tr>
      <w:tr w14:paraId="02D6B5AE"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5000 mg/kg Körpergewicht Animal: rat, Guideline: OECD Guideline 401 (Acute Oral Toxicity)</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Körpergewicht Animal: rabbit,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6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isopentyl salicylate (87-20-7)</w:t>
            </w:r>
          </w:p>
        </w:tc>
      </w:tr>
      <w:tr w14:paraId="02D6B5AF"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1310 mg/kg Körpergewicht Animal: rat</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sidR="00FA7F7F">
              <w:rPr>
                <w:noProof/>
              </w:rPr>
              <w:t>1310 mg/kg Körpergewicht Animal:</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Nicht eingestuft (Aufgrund der verfügbaren Daten sind die Einstufungskriterien nicht erfüllt)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19EADB4D" w14:textId="0F48635D">
      <w:pPr>
        <w:pStyle w:val="SDSTextBlankLine"/>
      </w:pPr>
    </w:p>
    <w:tbl>
      <w:tblPr>
        <w:tblStyle w:val="SDSTableWithBordersWithHeaderRow"/>
        <w:tblW w:w="10489" w:type="dxa"/>
        <w:tblLayout w:type="fixed"/>
        <w:tblLook w:val="04A0"/>
      </w:tblPr>
      <w:tblGrid>
        <w:gridCol w:w="3969"/>
        <w:gridCol w:w="6520"/>
      </w:tblGrid>
      <w:tr w14:paraId="30ACEB5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61EBDDE8" w14:textId="3F55FECE">
            <w:pPr>
              <w:pStyle w:val="SDSTableTextHeading1"/>
              <w:rPr>
                <w:noProof w:val="0"/>
                <w:color w:val="auto"/>
              </w:rPr>
            </w:pPr>
            <w:r w:rsidRPr="0069446B" w:rsidR="00FA7F7F">
              <w:rPr>
                <w:noProof/>
                <w:color w:val="auto"/>
              </w:rPr>
              <w:t>citral (5392-40-5)</w:t>
            </w:r>
          </w:p>
        </w:tc>
      </w:tr>
      <w:tr w14:paraId="095C82A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4CC5AB0" w14:textId="28F4EB77">
            <w:pPr>
              <w:pStyle w:val="SDSTableTextNormal"/>
              <w:rPr>
                <w:noProof w:val="0"/>
              </w:rPr>
            </w:pPr>
            <w:r w:rsidRPr="0069446B">
              <w:rPr>
                <w:noProof/>
              </w:rPr>
              <w:t>NOAEL (chronisch, oral, Tier, männlich, 2 Jahre)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C01117" w14:textId="4F52C4C8">
            <w:pPr>
              <w:pStyle w:val="SDSTableTextNormal"/>
              <w:rPr>
                <w:noProof w:val="0"/>
              </w:rPr>
            </w:pPr>
            <w:r w:rsidRPr="0069446B">
              <w:rPr>
                <w:noProof/>
              </w:rPr>
              <w:t>60 mg/kg Körpergewicht Animal: mouse, Animal sex: male, Guideline: OECD Guideline 453 (Combined Chronic Toxicity / Carcinogenicity Studies)</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benzyl salicylate (118-58-1)</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158 mg/kg Körpergewicht Animal: rat, Animal sex: female,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Körpergewicht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5A8DAD70" w14:textId="6BB7031E">
      <w:pPr>
        <w:pStyle w:val="SDSTextBlankLine"/>
      </w:pPr>
    </w:p>
    <w:tbl>
      <w:tblPr>
        <w:tblStyle w:val="SDSTableWithBordersWithHeaderRow"/>
        <w:tblW w:w="10489" w:type="dxa"/>
        <w:tblLayout w:type="fixed"/>
        <w:tblLook w:val="04A0"/>
      </w:tblPr>
      <w:tblGrid>
        <w:gridCol w:w="3969"/>
        <w:gridCol w:w="6520"/>
      </w:tblGrid>
      <w:tr w14:paraId="22761E3B"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08438C9D" w14:textId="1D4097E9">
            <w:pPr>
              <w:pStyle w:val="SDSTableTextHeading1"/>
              <w:rPr>
                <w:noProof w:val="0"/>
                <w:color w:val="auto"/>
              </w:rPr>
            </w:pPr>
            <w:r w:rsidRPr="0069446B" w:rsidR="00FA7F7F">
              <w:rPr>
                <w:noProof/>
                <w:color w:val="auto"/>
              </w:rPr>
              <w:t>benzaldehyde (100-52-7)</w:t>
            </w:r>
          </w:p>
        </w:tc>
      </w:tr>
      <w:tr w14:paraId="19C91D7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DF0C3A" w:rsidRPr="0069446B" w:rsidP="009B0F88" w14:paraId="61F4F0F2" w14:textId="18B01BD1">
            <w:pPr>
              <w:pStyle w:val="SDSTableTextNormal"/>
              <w:rPr>
                <w:noProof w:val="0"/>
              </w:rPr>
            </w:pPr>
            <w:r w:rsidRPr="0069446B" w:rsidR="00FA7F7F">
              <w:rPr>
                <w:noProof/>
              </w:rPr>
              <w:t>Spezifische Zielorgan-Toxizität bei einmaliger Exposition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DF0C3A" w:rsidRPr="0069446B" w:rsidP="009B0F88" w14:paraId="0CCC6EF3" w14:textId="581E3344">
            <w:pPr>
              <w:pStyle w:val="SDSTableTextNormal"/>
              <w:rPr>
                <w:noProof w:val="0"/>
                <w:lang w:val="fr-BE"/>
              </w:rPr>
            </w:pPr>
            <w:r w:rsidRPr="0069446B" w:rsidR="00FA7F7F">
              <w:rPr>
                <w:noProof/>
                <w:lang w:val="fr-BE"/>
              </w:rPr>
              <w:t>Kann die Atemwege reizen.</w:t>
            </w:r>
            <w:r w:rsidRPr="0069446B">
              <w:rPr>
                <w:noProof w:val="0"/>
                <w:lang w:val="fr-BE"/>
              </w:rPr>
              <w:t xml:space="preserve"> </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benzyl salicylate (118-58-1)</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177 mg/kg Körpergewicht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piperonal (120-57-0)</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300 mg/kg Körpergewicht Animal: rat, Guideline: OECD Guideline 422 (Combined Repeated Dose Toxicity Study with the Reproduction / Developmental Toxicity Screening Test), Guideline: other:</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citral (5392-40-5)</w:t>
            </w:r>
          </w:p>
        </w:tc>
      </w:tr>
      <w:tr w14:paraId="42A847A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F68F7FC" w14:textId="315015CF">
            <w:pPr>
              <w:pStyle w:val="SDSTableTextNormal"/>
              <w:rPr>
                <w:noProof w:val="0"/>
              </w:rPr>
            </w:pPr>
            <w:r w:rsidRPr="0069446B" w:rsidR="00FA7F7F">
              <w:rPr>
                <w:noProof/>
              </w:rPr>
              <w:t>LOAEC (inhalativ, Ratte, Gase,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8FE6653" w14:textId="5FF84CD9">
            <w:pPr>
              <w:pStyle w:val="SDSTableTextNormal"/>
              <w:rPr>
                <w:noProof w:val="0"/>
              </w:rPr>
            </w:pPr>
            <w:r w:rsidRPr="0069446B" w:rsidR="00FA7F7F">
              <w:rPr>
                <w:noProof/>
              </w:rPr>
              <w:t>68 ppm Animal: rat, Animal sex: female</w:t>
            </w:r>
          </w:p>
        </w:tc>
      </w:tr>
      <w:tr w14:paraId="07CBBCD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100 mg/kg Körpergewicht Animal: rat, Guideline: OECD Guideline 453 (Combined Chronic Toxicity / Carcinogenicity Studies)</w:t>
            </w:r>
          </w:p>
        </w:tc>
      </w:tr>
      <w:tr w14:paraId="7DB1732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12186D5" w14:textId="59F51324">
            <w:pPr>
              <w:pStyle w:val="SDSTableTextNormal"/>
              <w:rPr>
                <w:noProof w:val="0"/>
                <w:lang w:val="de-DE"/>
              </w:rPr>
            </w:pPr>
            <w:r w:rsidRPr="0069446B" w:rsidR="00FA7F7F">
              <w:rPr>
                <w:noProof/>
                <w:lang w:val="de-DE"/>
              </w:rPr>
              <w:t>NOAEC (inhalativ, Ratte, Gase,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3E3E78EA" w14:textId="1918185F">
            <w:pPr>
              <w:pStyle w:val="SDSTableTextNormal"/>
              <w:rPr>
                <w:noProof w:val="0"/>
              </w:rPr>
            </w:pPr>
            <w:r w:rsidRPr="0069446B" w:rsidR="00FA7F7F">
              <w:rPr>
                <w:noProof/>
              </w:rPr>
              <w:t>34 ppm Animal: rat, Animal sex: female</w:t>
            </w:r>
          </w:p>
        </w:tc>
      </w:tr>
      <w:tr w14:paraId="6B0A5EE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7C20CFC" w14:textId="6F7047DD">
            <w:pPr>
              <w:pStyle w:val="SDSTableTextNormal"/>
              <w:rPr>
                <w:noProof w:val="0"/>
              </w:rPr>
            </w:pPr>
            <w:r w:rsidRPr="0069446B">
              <w:rPr>
                <w:noProof/>
              </w:rPr>
              <w:t>NOAEL (subchronisch, oral, Tier, männlich,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A78E587" w14:textId="4F8C43C8">
            <w:pPr>
              <w:pStyle w:val="SDSTableTextNormal"/>
              <w:rPr>
                <w:noProof w:val="0"/>
              </w:rPr>
            </w:pPr>
            <w:r w:rsidRPr="0069446B">
              <w:rPr>
                <w:noProof/>
              </w:rPr>
              <w:t>60 mg/kg Körpergewicht Animal: mouse, Animal sex: male, Guideline: OECD Guideline 453 (Combined Chronic Toxicity / Carcinogenicity Studies)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piperonal (120-57-0)</w:t>
            </w:r>
          </w:p>
        </w:tc>
      </w:tr>
      <w:tr w14:paraId="07CBBCD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300 mg/kg Körpergewicht Animal: rat, Guideline: OECD Guideline 422 (Combined Repeated Dose Toxicity Study with the Reproduction / Developmental Toxicity Screening Test), Guideline: other:</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Körpergewicht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E"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hexyl salicylate (6259-76-3)</w:t>
            </w:r>
          </w:p>
        </w:tc>
      </w:tr>
      <w:tr w14:paraId="07CBBCD9"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sidR="00FA7F7F">
              <w:rPr>
                <w:noProof/>
                <w:lang w:val="fr-BE"/>
              </w:rPr>
              <w:t>46,9 mg/kg Körpergewicht Animal: rat</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(inhalativ, Ratte, Staub/Nebel/Rauch,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0,249 mg/l air Animal: rat, Guideline: OECD Guideline 412 (Subacute Inhalation Toxicity: 28-Day Study)</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Pistache kerze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2" w:name="_Hlk54089399"/>
      <w:r w:rsidRPr="0069446B" w:rsidR="00FA7F7F">
        <w:rPr>
          <w:noProof/>
          <w:color w:val="auto"/>
          <w:lang w:val="en-GB"/>
        </w:rPr>
        <w:t>Angaben über sonstige Gefahren</w:t>
      </w:r>
      <w:bookmarkEnd w:id="2"/>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Das Produkt gilt weder als schädlich für Wasserorganismen noch verursacht es langfristige Schäden in der Umwelt.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Nicht eingestuft (Aufgrund der verfügbaren Daten sind die Einstufungskriterien nicht erfüllt)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benzyl salicylate (118-58-1)</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1,03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1,16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0,691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1,29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benzaldehyde (100-52-7)</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19,7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33,1 mg/l Test organisms (species): Raphidocelis subcapitata (previous names: Pseudokirchneriella subcapitata, Selenastrum capricornutum)</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8,05 mg/l Test organisms (species): Raphidocelis subcapitata (previous names: Pseudokirchneriella subcapitata, Selenastrum capricornutum)</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0,12 mg/l Test organisms (species): Pimephales promelas Duration: '7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piperonal (120-57-0)</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2,5 mg/l Test organisms (species): Cyprinus carpio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52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31 mg/l Test organisms (species): Raphidocelis subcapitata (previous names: Pseudokirchneriella subcapitata, Selenastrum capricornutum)</w:t>
            </w:r>
          </w:p>
        </w:tc>
      </w:tr>
      <w:tr w14:paraId="14947BF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6,8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citral (5392-40-5)</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6,78 mg/l Test organisms (species): Leuciscus idus</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6,8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103,8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piperonal (120-57-0)</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2,5 mg/l Test organisms (species): Cyprinus carpio</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52 mg/l Test organisms (species): Daphnia magna</w:t>
            </w:r>
          </w:p>
        </w:tc>
      </w:tr>
      <w:tr w14:paraId="66FAA36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31 mg/l Test organisms (species): Raphidocelis subcapitata (previous names: Pseudokirchneriella subcapitata, Selenastrum capricornutum)</w:t>
            </w:r>
          </w:p>
        </w:tc>
      </w:tr>
      <w:tr w14:paraId="14947BF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6,8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hexyl salicylate (6259-76-3)</w:t>
            </w:r>
          </w:p>
        </w:tc>
      </w:tr>
      <w:tr w14:paraId="758D634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0,357 mg/l Test organisms (species): Daphnia magna</w:t>
            </w:r>
          </w:p>
        </w:tc>
      </w:tr>
      <w:tr w14:paraId="66FAA36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0,61 mg/l Test organisms (species): Desmodesmus subspicatus (previous name: Scenedesmus subspicatus)</w:t>
            </w:r>
          </w:p>
        </w:tc>
      </w:tr>
      <w:tr w14:paraId="14947BF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0,28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isopentyl salicylate (87-20-7)</w:t>
            </w:r>
          </w:p>
        </w:tc>
      </w:tr>
      <w:tr w14:paraId="758D63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1,97 mg/l Test organisms (species): Daphnia magna</w:t>
            </w:r>
          </w:p>
        </w:tc>
      </w:tr>
      <w:tr w14:paraId="66FAA36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1,12 mg/l Test organisms (species): Raphidocelis subcapitata (previous names: Pseudokirchneriella subcapitata, Selenastrum capricornutum)</w:t>
            </w:r>
          </w:p>
        </w:tc>
      </w:tr>
      <w:tr w14:paraId="14947BF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0,298 mg/l Test organisms (species): Raphidocelis subcapitata (previous names: Pseudokirchneriella subcapitata, Selenastrum capricornutum)</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Pistache kerze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benzyl salicylate (118-58-1)</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benzaldehyde (100-52-7)</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piperonal (120-57-0)</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citral (5392-40-5)</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piperonal (120-57-0)</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hexyl salicylate (6259-76-3)</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isopentyl salicylate (87-20-7)</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p w:rsidR="009F53E3" w:rsidRPr="0069446B" w:rsidP="009E5102" w14:paraId="4CF14847" w14:textId="031A2CAD">
      <w:pPr>
        <w:pStyle w:val="SDSTextNormal"/>
        <w:bidi w:val="0"/>
        <w:rPr>
          <w:rtl w:val="0"/>
        </w:rPr>
      </w:pPr>
      <w:r w:rsidRPr="0069446B">
        <w:rPr>
          <w:rtl w:val="0"/>
        </w:rPr>
        <w:t>Keine weiteren Informationen verfügbar</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3"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3"/>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benzaldehyde ; 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benzyl salicylate ; benzaldehyde ; citral ; 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Stoffe, die in der Drogen-Ausgangsstoff-Verordnung gelistet sind (EG 273/2004, Stoffe die bei der unerlaubten Herstellung von Suchtstoffen und psychotropen Substanzen verwendet werden)</w:t>
            </w:r>
          </w:p>
        </w:tc>
      </w:tr>
    </w:tbl>
    <w:tbl>
      <w:tblPr>
        <w:tblStyle w:val="SDSTableWithBordersWithHeaderRow"/>
        <w:tblW w:w="10490" w:type="dxa"/>
        <w:tblLayout w:type="fixed"/>
        <w:tblLook w:val="04A0"/>
      </w:tblPr>
      <w:tblGrid>
        <w:gridCol w:w="2267"/>
        <w:gridCol w:w="1275"/>
        <w:gridCol w:w="1276"/>
        <w:gridCol w:w="1418"/>
        <w:gridCol w:w="1418"/>
        <w:gridCol w:w="1418"/>
        <w:gridCol w:w="1418"/>
      </w:tblGrid>
      <w:tr w14:paraId="0B83201E" w14:textId="77777777" w:rsidTr="005C557D">
        <w:tblPrEx>
          <w:tblW w:w="10490" w:type="dxa"/>
          <w:tblLayout w:type="fixed"/>
          <w:tblLook w:val="04A0"/>
        </w:tblPrEx>
        <w:trPr>
          <w:tblHeader/>
        </w:trPr>
        <w:tc>
          <w:tcPr>
            <w:tcW w:w="226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0D104D90" w14:textId="15A02BD9">
            <w:pPr>
              <w:pStyle w:val="SDSTableTextHeading1"/>
              <w:rPr>
                <w:noProof w:val="0"/>
                <w:color w:val="auto"/>
              </w:rPr>
            </w:pPr>
            <w:r w:rsidRPr="0069446B" w:rsidR="00FA7F7F">
              <w:rPr>
                <w:noProof/>
                <w:color w:val="auto"/>
              </w:rPr>
              <w:t>Name</w:t>
            </w:r>
          </w:p>
        </w:tc>
        <w:tc>
          <w:tcPr>
            <w:tcW w:w="127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57C5252" w14:textId="5225E603">
            <w:pPr>
              <w:pStyle w:val="SDSTableTextHeading1"/>
              <w:rPr>
                <w:noProof w:val="0"/>
                <w:color w:val="auto"/>
              </w:rPr>
            </w:pPr>
            <w:r w:rsidRPr="0069446B" w:rsidR="00FA7F7F">
              <w:rPr>
                <w:noProof/>
                <w:color w:val="auto"/>
              </w:rPr>
              <w:t>CN-Bezeichnung</w:t>
            </w:r>
          </w:p>
        </w:tc>
        <w:tc>
          <w:tcPr>
            <w:tcW w:w="127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D6EF8CB" w14:textId="6606C847">
            <w:pPr>
              <w:pStyle w:val="SDSTableTextHeading1"/>
              <w:rPr>
                <w:noProof w:val="0"/>
                <w:color w:val="auto"/>
              </w:rPr>
            </w:pPr>
            <w:r w:rsidRPr="0069446B" w:rsidR="00FA7F7F">
              <w:rPr>
                <w:noProof/>
                <w:color w:val="auto"/>
              </w:rPr>
              <w:t>CAS-Nr.</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54B57E4" w14:textId="78E35A93">
            <w:pPr>
              <w:pStyle w:val="SDSTableTextHeading1"/>
              <w:rPr>
                <w:noProof w:val="0"/>
                <w:color w:val="auto"/>
              </w:rPr>
            </w:pPr>
            <w:r w:rsidRPr="0069446B" w:rsidR="00FA7F7F">
              <w:rPr>
                <w:noProof/>
                <w:color w:val="auto"/>
              </w:rPr>
              <w:t>CN-Code</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96366" w:rsidRPr="0069446B" w:rsidP="00E96366" w14:paraId="53D256F7" w14:textId="6CCA77A9">
            <w:pPr>
              <w:pStyle w:val="SDSTableTextHeading1"/>
              <w:rPr>
                <w:noProof w:val="0"/>
                <w:color w:val="auto"/>
              </w:rPr>
            </w:pPr>
            <w:r w:rsidRPr="0069446B" w:rsidR="00FA7F7F">
              <w:rPr>
                <w:noProof/>
                <w:color w:val="auto"/>
              </w:rPr>
              <w:t>Kategorie,</w:t>
            </w:r>
          </w:p>
          <w:p w:rsidR="00A65092" w:rsidRPr="0069446B" w:rsidP="00E96366" w14:paraId="26779EFF" w14:textId="63E11907">
            <w:pPr>
              <w:pStyle w:val="SDSTableTextHeading1"/>
              <w:rPr>
                <w:noProof w:val="0"/>
                <w:color w:val="auto"/>
              </w:rPr>
            </w:pPr>
            <w:r w:rsidRPr="0069446B" w:rsidR="00FA7F7F">
              <w:rPr>
                <w:noProof/>
                <w:color w:val="auto"/>
              </w:rPr>
              <w:t>Unterkategorie</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61B55F5" w14:textId="24B2F796">
            <w:pPr>
              <w:pStyle w:val="SDSTableTextHeading1"/>
              <w:rPr>
                <w:noProof w:val="0"/>
                <w:color w:val="auto"/>
              </w:rPr>
            </w:pPr>
            <w:r w:rsidRPr="0069446B" w:rsidR="00FA7F7F">
              <w:rPr>
                <w:noProof/>
                <w:color w:val="auto"/>
              </w:rPr>
              <w:t>Schwelle</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1BD701E" w14:textId="65E28E50">
            <w:pPr>
              <w:pStyle w:val="SDSTableTextHeading1"/>
              <w:rPr>
                <w:noProof w:val="0"/>
                <w:color w:val="auto"/>
              </w:rPr>
            </w:pPr>
            <w:r w:rsidRPr="0069446B" w:rsidR="00FA7F7F">
              <w:rPr>
                <w:noProof/>
                <w:color w:val="auto"/>
              </w:rPr>
              <w:t>Anhang</w:t>
            </w:r>
          </w:p>
        </w:tc>
      </w:tr>
      <w:tr w14:paraId="23D538E0" w14:textId="77777777" w:rsidTr="005C557D">
        <w:tblPrEx>
          <w:tblW w:w="10490" w:type="dxa"/>
          <w:tblLayout w:type="fixed"/>
          <w:tblLook w:val="04A0"/>
        </w:tblPrEx>
        <w:tc>
          <w:tcPr>
            <w:tcW w:w="226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073E40F" w14:textId="559D260D">
            <w:pPr>
              <w:pStyle w:val="SDSTableTextNormal"/>
              <w:rPr>
                <w:noProof w:val="0"/>
              </w:rPr>
            </w:pPr>
            <w:r w:rsidRPr="0069446B" w:rsidR="00FA7F7F">
              <w:rPr>
                <w:noProof/>
              </w:rPr>
              <w:t>Piperonal</w:t>
            </w:r>
          </w:p>
        </w:tc>
        <w:tc>
          <w:tcPr>
            <w:tcW w:w="127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900E007" w14:textId="26A7BDBB">
            <w:pPr>
              <w:pStyle w:val="SDSTableTextNormal"/>
              <w:rPr>
                <w:noProof w:val="0"/>
              </w:rPr>
            </w:pPr>
          </w:p>
        </w:tc>
        <w:tc>
          <w:tcPr>
            <w:tcW w:w="127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19F3871" w14:textId="44E22305">
            <w:pPr>
              <w:pStyle w:val="SDSTableTextNormal"/>
              <w:rPr>
                <w:noProof w:val="0"/>
              </w:rPr>
            </w:pPr>
            <w:r w:rsidRPr="0069446B" w:rsidR="00FA7F7F">
              <w:rPr>
                <w:noProof/>
              </w:rPr>
              <w:t>120-57-0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04454755" w14:textId="57B7AB29">
            <w:pPr>
              <w:pStyle w:val="SDSTableTextNormal"/>
              <w:rPr>
                <w:noProof w:val="0"/>
              </w:rPr>
            </w:pPr>
            <w:r w:rsidRPr="0069446B" w:rsidR="00FA7F7F">
              <w:rPr>
                <w:noProof/>
              </w:rPr>
              <w:t>2932 93 00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0CE3A27" w14:textId="126BB867">
            <w:pPr>
              <w:pStyle w:val="SDSTableTextNormal"/>
              <w:rPr>
                <w:noProof w:val="0"/>
              </w:rPr>
            </w:pPr>
            <w:r w:rsidRPr="0069446B" w:rsidR="00FA7F7F">
              <w:rPr>
                <w:noProof/>
              </w:rPr>
              <w:t>Kategorie 1</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99E5CD" w14:textId="1DED112B">
            <w:pPr>
              <w:pStyle w:val="SDSTableTextNormal"/>
              <w:rPr>
                <w:noProof w:val="0"/>
              </w:rPr>
            </w:pP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511B839" w14:textId="55BB0BAA">
            <w:pPr>
              <w:pStyle w:val="SDSTableTextNormal"/>
              <w:rPr>
                <w:noProof w:val="0"/>
              </w:rPr>
            </w:pPr>
            <w:r w:rsidRPr="0069446B" w:rsidR="00FA7F7F">
              <w:rPr>
                <w:noProof/>
              </w:rPr>
              <w:t>Anhang I</w:t>
            </w:r>
          </w:p>
        </w:tc>
      </w:tr>
      <w:tr w14:paraId="23D538E1" w14:textId="77777777" w:rsidTr="005C557D">
        <w:tblPrEx>
          <w:tblW w:w="10490" w:type="dxa"/>
          <w:tblLayout w:type="fixed"/>
          <w:tblLook w:val="04A0"/>
        </w:tblPrEx>
        <w:tc>
          <w:tcPr>
            <w:tcW w:w="226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59D260D">
            <w:pPr>
              <w:pStyle w:val="SDSTableTextNormal"/>
              <w:rPr>
                <w:noProof w:val="0"/>
              </w:rPr>
            </w:pPr>
            <w:r w:rsidRPr="0069446B" w:rsidR="00FA7F7F">
              <w:rPr>
                <w:noProof/>
              </w:rPr>
              <w:t>Piperonal</w:t>
            </w:r>
          </w:p>
        </w:tc>
        <w:tc>
          <w:tcPr>
            <w:tcW w:w="127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26A7BDBB">
            <w:pPr>
              <w:pStyle w:val="SDSTableTextNormal"/>
              <w:rPr>
                <w:noProof w:val="0"/>
              </w:rPr>
            </w:pPr>
          </w:p>
        </w:tc>
        <w:tc>
          <w:tcPr>
            <w:tcW w:w="127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44E22305">
            <w:pPr>
              <w:pStyle w:val="SDSTableTextNormal"/>
              <w:rPr>
                <w:noProof w:val="0"/>
              </w:rPr>
            </w:pPr>
            <w:r w:rsidRPr="0069446B" w:rsidR="00FA7F7F">
              <w:rPr>
                <w:noProof/>
              </w:rPr>
              <w:t>120-57-0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7B7AB29">
            <w:pPr>
              <w:pStyle w:val="SDSTableTextNormal"/>
              <w:rPr>
                <w:noProof w:val="0"/>
              </w:rPr>
            </w:pPr>
            <w:r w:rsidRPr="0069446B" w:rsidR="00FA7F7F">
              <w:rPr>
                <w:noProof/>
              </w:rPr>
              <w:t>2932 93 00</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126BB867">
            <w:pPr>
              <w:pStyle w:val="SDSTableTextNormal"/>
              <w:rPr>
                <w:noProof w:val="0"/>
              </w:rPr>
            </w:pPr>
            <w:r w:rsidRPr="0069446B" w:rsidR="00FA7F7F">
              <w:rPr>
                <w:noProof/>
              </w:rPr>
              <w:t>Kategorie 1</w:t>
            </w: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1DED112B">
            <w:pPr>
              <w:pStyle w:val="SDSTableTextNormal"/>
              <w:rPr>
                <w:noProof w:val="0"/>
              </w:rPr>
            </w:pPr>
          </w:p>
        </w:tc>
        <w:tc>
          <w:tcPr>
            <w:tcW w:w="14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5BB0BAA">
            <w:pPr>
              <w:pStyle w:val="SDSTableTextNormal"/>
              <w:rPr>
                <w:noProof w:val="0"/>
              </w:rPr>
            </w:pPr>
            <w:r w:rsidRPr="0069446B" w:rsidR="00FA7F7F">
              <w:rPr>
                <w:noProof/>
              </w:rPr>
              <w:t>Anhang I</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2, Deutlich wassergefährdend (Einstufung nach AwSV, Anlage 1).</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(Inhalativ)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(inhalativ),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(oral), Kategorie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2</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2</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Repr.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Reproduktionstoxizität, Kategorie 2</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Verätzung/Reizung der Haut, Kategorie 2</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STOT RE nicht klassifiziert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Spezifische Zielorgan-Toxizität (wiederholte Exposition) nicht klassifiziert</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STOT SE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Spezifische Zielorgan-Toxizität (einmalige Exposition), Kategorie 3, Atemwegsreizung</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sidR="00FA7F7F">
              <w:rPr>
                <w:noProof/>
              </w:rPr>
              <w:t>Verursacht Hautreizungen.</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Augenreizung.</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Einatmen.</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die Atemwege reizen.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H361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vermutlich die Fruchtbarkeit beeinträchtigen oder das Kind im Mutterleib schädigen.</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H361d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vermutlich das Kind im Mutterleib schädigen.</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Giftig für Wasserorganismen, mit langfristiger Wirkung.</w:t>
            </w:r>
          </w:p>
        </w:tc>
      </w:tr>
      <w:tr w14:paraId="63F052E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Enthält BENZYL SALICYLATE, HELIOTROPINE, CITRAL, HELIOTROPINE, COUMARIN, HEXYL SALICYLATE, ISOAMYL SALICYLATE. Kann allergische Reaktionen hervorrufen.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12.08.2026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14</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14</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12.08.2026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14</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Pistache kerze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Pistache kerze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12.08.2026   Version: 3.0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webSettings" Target="webSettings.xml"/><Relationship Id="rId16"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image" Target="media/image1.png"/><Relationship Id="rId5" Type="http://schemas.openxmlformats.org/officeDocument/2006/relationships/hyperlink" Target="mailto: office@labsys.fr" TargetMode="Externa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styles" Target="styles.xml"/><Relationship Id="rId4" Type="http://schemas.openxmlformats.org/officeDocument/2006/relationships/customXml" Target="../customXml/item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94BCAC77-B1EE-4546-A038-304EA053FBE6}"/>
</file>

<file path=customXml/itemProps3.xml><?xml version="1.0" encoding="utf-8"?>
<ds:datastoreItem xmlns:ds="http://schemas.openxmlformats.org/officeDocument/2006/customXml" ds:itemID="{94F2D2AC-0DFE-4D43-8423-7E06912CF4BE}"/>
</file>

<file path=customXml/itemProps4.xml><?xml version="1.0" encoding="utf-8"?>
<ds:datastoreItem xmlns:ds="http://schemas.openxmlformats.org/officeDocument/2006/customXml" ds:itemID="{68F92001-990E-42D7-8FBB-8ECF87D7CCFC}"/>
</file>

<file path=docProps/app.xml><?xml version="1.0" encoding="utf-8"?>
<Properties xmlns="http://schemas.openxmlformats.org/officeDocument/2006/extended-properties" xmlns:vt="http://schemas.openxmlformats.org/officeDocument/2006/docPropsVTypes">
  <Template>Normal</Template>
  <TotalTime>219</TotalTime>
  <Pages>14</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