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Pin des landes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2,4-DIMETHYL-3-CYCLOHEXENE CARBOXALDEHYDE, PINENE.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80-56-8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0,1554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Acute Tox. 4 (Oral), H302 (ATE=500 mg/kg Körpergewicht)</w:t>
              <w:br/>
              <w:t>Skin Irrit. 2, H315</w:t>
              <w:br/>
              <w:t>Skin Sens. 1B, H317</w:t>
              <w:br/>
              <w:t>Asp. Tox. 1, H304</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268-264-1</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Fruchtig. Schaum.</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Pin des landes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Pin des landes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2,4-dimethylcyclohex-3-ene-1-carbaldehyde (68039-49-6)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2,4-DIMETHYL-3-CYCLOHEXENE CARBOXALDEHYDE, PINENE.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Pin des landes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Pin des landes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4CF0DB1-8F57-4D5D-94E8-075DACF0873A}"/>
</file>

<file path=customXml/itemProps3.xml><?xml version="1.0" encoding="utf-8"?>
<ds:datastoreItem xmlns:ds="http://schemas.openxmlformats.org/officeDocument/2006/customXml" ds:itemID="{9CA31987-7A8D-4ED8-9A00-E96A94678414}"/>
</file>

<file path=customXml/itemProps4.xml><?xml version="1.0" encoding="utf-8"?>
<ds:datastoreItem xmlns:ds="http://schemas.openxmlformats.org/officeDocument/2006/customXml" ds:itemID="{9ACB8275-50DF-49DD-A965-D815E13BDDE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