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Orientale et encens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isoeugenol; cinnamyl alcohol; Eugenol; (E)-anethole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Körpergewicht)</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Würzig. Anis. Vanille. holzartig.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Körpergewicht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Körpergewicht Animal: rat, 95% CL: 2090 -</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Körpergewicht Animal: rabbit, Guideline: EU Method B.3 (Acute Toxicity (Dermal))</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 5,1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Orientale et encens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Orientale et encens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cinnamaldehyde ; isoeugenol ; anisaldehyde ; cinnamyl alcohol ; Eugenol ; (E)-anethole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cinnamaldehyde ; anisaldehyde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Orientale et encens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Orientale et encens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19.06.2026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DA5859B-0E21-4637-9BE6-BC567185C93E}"/>
</file>

<file path=customXml/itemProps3.xml><?xml version="1.0" encoding="utf-8"?>
<ds:datastoreItem xmlns:ds="http://schemas.openxmlformats.org/officeDocument/2006/customXml" ds:itemID="{CCA9DE0F-BE7F-4C6A-A912-7B202619125D}"/>
</file>

<file path=customXml/itemProps4.xml><?xml version="1.0" encoding="utf-8"?>
<ds:datastoreItem xmlns:ds="http://schemas.openxmlformats.org/officeDocument/2006/customXml" ds:itemID="{F24772E0-4C50-4247-B1CD-62E62EDFD20F}"/>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