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Nuances de noir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cyclamen aldehyde, ROSE KETONE-3. Kann allergische Reaktionen hervorrufen.</w:t>
              <w:br/>
              <w:t>EUH210 - Sicherheitsdatenblatt auf Anfrage erhältlich.</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0,1946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Zypern. Blumig. Leder.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Körpergewicht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Körpergewicht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Nuances de noir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Nuances de noir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cyclamen aldehyde, ROSE KETONE-3. Kann allergische Reaktionen hervorrufen.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Sicherheitsdatenblatt auf Anfrage erhältlich.</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Nuances de noir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Nuances de noir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02.06.2026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5C91988-97E0-4005-9A2C-6B1272898144}"/>
</file>

<file path=customXml/itemProps3.xml><?xml version="1.0" encoding="utf-8"?>
<ds:datastoreItem xmlns:ds="http://schemas.openxmlformats.org/officeDocument/2006/customXml" ds:itemID="{C8C24AED-D460-4C13-BE6A-120317DA7320}"/>
</file>

<file path=customXml/itemProps4.xml><?xml version="1.0" encoding="utf-8"?>
<ds:datastoreItem xmlns:ds="http://schemas.openxmlformats.org/officeDocument/2006/customXml" ds:itemID="{C26677ED-096E-46B8-87C3-579C259680D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