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Nuances de noir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cyclamen aldehyde, ROSE KETONE-3.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103-95-7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 Leder.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cyclamen aldehyde (103-95-7)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 5000 mg/kg Körpergewicht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Körpergewicht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Körpergewicht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Körpergewicht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Nuances de noir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cyclamen aldehyde (103-95-7)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Nuances de noir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cyclamen aldehyde (103-95-7)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cyclamen aldehyde, ROSE KETONE-3.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Nuances de noir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Nuances de noir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5481360-D4A8-4467-B744-E64326DE91D8}"/>
</file>

<file path=customXml/itemProps3.xml><?xml version="1.0" encoding="utf-8"?>
<ds:datastoreItem xmlns:ds="http://schemas.openxmlformats.org/officeDocument/2006/customXml" ds:itemID="{9D0B0A0A-D25D-40EE-8160-3902BD407621}"/>
</file>

<file path=customXml/itemProps4.xml><?xml version="1.0" encoding="utf-8"?>
<ds:datastoreItem xmlns:ds="http://schemas.openxmlformats.org/officeDocument/2006/customXml" ds:itemID="{82FC0540-1745-4DCE-94B6-D7584710088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