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Nuage de lotus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3,7-dimethylnona-1,6-dien-3-ol, Geraniol; (2E)-3,7-Dimethylocta-2,6-dien-1-ol, alpha-iso-methylionone, 3-(p-methoxyphenyl)-2-methylpropionaldehyde, citronellol.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tetrahydro-2-isobutyl-4-methyl-pyran-4-ol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3-(p-methoxyphenyl)-2-methylpropionaldehyde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5462-06-6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226-749-5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Pulverisiert. Moschus.</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tetrahydro-2-isobutyl-4-methyl-pyran-4-ol</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Guideline: EU Method B.1 (Acute Toxicity (Oral)),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ethylene brassylate (105-95-3)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5000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Körpergewicht Animal: rat, 95% CL: 2840 - 4570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3-(p-methoxyphenyl)-2-methylpropionaldehyde (5462-06-6)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4000 mg/kg Körpergewicht Animal: rat, Animal sex: male, Guideline: OECD Guideline 401 (Acute Oral Toxicity), 95% CL: 3400 - 4600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tetrahydro-2-isobutyl-4-methyl-pyran-4-ol</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125 mg/kg Körpergewicht Animal: rat, Guideline: OECD Guideline 407 (Repeated Dose 28-Day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Körpergewicht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ethylene brassylate (105-95-3)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Nuage de lotus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tetrahydro-2-isobutyl-4-methyl-pyran-4-ol</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 320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ethylene brassylate (105-95-3)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6,94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3-(p-methoxyphenyl)-2-methylpropionaldehyde (5462-06-6)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5,2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12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Nuage de lotus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tetrahydro-2-isobutyl-4-methyl-pyran-4-ol</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brassylate (105-95-3)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3-(p-methoxyphenyl)-2-methylpropionaldehyde (5462-06-6)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tetrahydro-2-isobutyl-4-methyl-pyran-4-ol ; Geraniol ; 3-(p-methoxyphenyl)-2-methylpropionaldehyde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brassylate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Chronisch gewässergefährdend, Kategorie 2</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3,7-dimethylnona-1,6-dien-3-ol, Geraniol; (2E)-3,7-Dimethylocta-2,6-dien-1-ol, alpha-iso-methylionone, 3-(p-methoxyphenyl)-2-methylpropionaldehyde, citronellol.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25.03.2026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25.03.2026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Nuage de lotus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Nuage de lotus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25.03.2026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6E3949F-5ADA-467E-A766-07F53AC0CF4C}"/>
</file>

<file path=customXml/itemProps3.xml><?xml version="1.0" encoding="utf-8"?>
<ds:datastoreItem xmlns:ds="http://schemas.openxmlformats.org/officeDocument/2006/customXml" ds:itemID="{73BE1B4E-7BB0-4880-A08D-BE7E6F453D5E}"/>
</file>

<file path=customXml/itemProps4.xml><?xml version="1.0" encoding="utf-8"?>
<ds:datastoreItem xmlns:ds="http://schemas.openxmlformats.org/officeDocument/2006/customXml" ds:itemID="{0E7E51B9-502F-483D-9E38-34EA00052476}"/>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