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Nuage de lotus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3,7-dimethylnona-1,6-dien-3-ol, Geraniol; (2E)-3,7-Dimethylocta-2,6-dien-1-ol, alpha-iso-methylionone, 3-(p-methoxyphenyl)-2-methylpropionaldehyde, citronellol.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63500-71-0</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Pulverisiert. Moschus.</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tetrahydro-2-isobutyl-4-methyl-pyran-4-ol (63500-71-0)</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ethylene brassylate (105-95-3)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5000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3-(p-methoxyphenyl)-2-methylpropionaldehyde (5462-06-6)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4000 mg/kg Körpergewicht Animal: rat, Animal sex: male, Guideline: OECD Guideline 401 (Acute Oral Toxicity), 95% CL: 3400 - 4600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tetrahydro-2-isobutyl-4-methyl-pyran-4-ol (63500-71-0)</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Körpergewicht Animal: rat, Guideline: OECD Guideline 407 (Repeated Dose 28-Day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1000 mg/kg Körpergewicht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ethylene brassylate (105-95-3)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Nuage de lotus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tetrahydro-2-isobutyl-4-methyl-pyran-4-ol (63500-71-0)</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 320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3-(p-methoxyphenyl)-2-methylpropionaldehyde (5462-06-6)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Nuage de lotus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tetrahydro-2-isobutyl-4-methyl-pyran-4-ol (63500-71-0)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ethylene brassylate (105-95-3)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3-(p-methoxyphenyl)-2-methylpropionaldehyde (5462-06-6)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tetrahydro-2-isobutyl-4-methyl-pyran-4-ol ; Geraniol ; 3-(p-methoxyphenyl)-2-methylpropionaldehyde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Chronisch gewässergefährdend, Kategorie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3,7-dimethylnona-1,6-dien-3-ol, Geraniol; (2E)-3,7-Dimethylocta-2,6-dien-1-ol, alpha-iso-methylionone, 3-(p-methoxyphenyl)-2-methylpropionaldehyde, citronellol.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25.03.2026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25.03.2026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Nuage de lotus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Nuage de lotus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25.03.2026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97BB373-29C6-44DE-ACE3-7EBE5D401C65}"/>
</file>

<file path=customXml/itemProps3.xml><?xml version="1.0" encoding="utf-8"?>
<ds:datastoreItem xmlns:ds="http://schemas.openxmlformats.org/officeDocument/2006/customXml" ds:itemID="{8B245D06-19F2-4C64-AA49-2DC870BCCD70}"/>
</file>

<file path=customXml/itemProps4.xml><?xml version="1.0" encoding="utf-8"?>
<ds:datastoreItem xmlns:ds="http://schemas.openxmlformats.org/officeDocument/2006/customXml" ds:itemID="{81883A5F-A453-4E3D-852F-FB67C8426822}"/>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