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Noble oud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cinnamaldehyde; methyl palmitate; α-hexylcinnamaldehyde; benzyl salicylate; 1-(1,2,3,4,5,6,7,8-octahydro-2,3,8,8-tetramethyl-2-naphthyl)ethan-1-one; 4-tert-butylcyclohexyl acetate; coumarin</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Entsorgen Sie den Inhalt/das Behältnis in ... (... gemäß den lokalen/regionalen/nationalen oder internationalen Vorschriften).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1,2383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palmitate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112-39-0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0,2247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0,02695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Würzig. Leder. Holzig. Orientalisch. balsamartig.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palmitate (112-39-0)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Körpergewicht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Noble oud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methyl palmitate (112-39-0)</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4,4 mm²/s Temp.: '40°C'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palmitate (112-39-0)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550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0,02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&gt; 0,22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&gt; 0,22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Noble oud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palmitate (112-39-0)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d-limonene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cinnamaldehyde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Noble oud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Noble oud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27.04.2026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F395324-B8D2-4447-88D9-2B2E529515F6}"/>
</file>

<file path=customXml/itemProps3.xml><?xml version="1.0" encoding="utf-8"?>
<ds:datastoreItem xmlns:ds="http://schemas.openxmlformats.org/officeDocument/2006/customXml" ds:itemID="{E2463884-5BAE-44DD-8751-4C3BD947F7CA}"/>
</file>

<file path=customXml/itemProps4.xml><?xml version="1.0" encoding="utf-8"?>
<ds:datastoreItem xmlns:ds="http://schemas.openxmlformats.org/officeDocument/2006/customXml" ds:itemID="{6B23CD81-053C-4A4B-AB4B-BCB416303F2D}"/>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