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Nectar d'abricot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geraniol; citronellol; 4-tert-butylcyclohexyl acetate;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Komponente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Stoffe, die die PBT-Kriterien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Stoffe, die die vPvB-Kriterien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2"/>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1,7507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undecan-4-olide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104-67-6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203-225-4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0,4088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0,2387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decan-5-olide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705-86-2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211-889-1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Grün.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decan-5-olide (705-86-2)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undecan-4-olide (104-67-6)</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Körpergewicht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Körpergewicht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decan-5-olide (705-86-2)</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4,23 Temp.: 25,2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decan-5-olide (705-86-2)</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4,23 Temp.: 25,2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undecan-4-olide (104-67-6)</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225 mg/kg Körpergewicht Animal: rat,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Pr>
                <w:noProof/>
              </w:rPr>
              <w:t>NOAEL (chronisch, oral, Tier, weiblich,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450 mg/kg Körpergewicht Animal: rat, Animal sex: female, Guideline: OECD Guideline 451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decan-5-olide (705-86-2)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Körpergewicht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(inhalativ, Ratte, Staub/Nebel/Rauch,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Körpergewicht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Nectar d'abricot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undecan-4-olide (104-67-6)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&lt; 10,621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Angaben über sonstige Gefahren</w:t>
      </w:r>
      <w:bookmarkEnd w:id="4"/>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decan-5-olide (705-86-2)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18,7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31,81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26,542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undecan-4-olide (104-67-6)</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5,853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7,218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1,83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0,138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Nectar d'abricot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decan-5-olide (705-86-2)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undecan-4-olide (104-67-6)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Komponente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Stoffe, die die PBT-Kriterien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Stoffe, die die vPvB-Kriterien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5"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citronellol ; 4-tert-butylcyclohexyl acetate ; d-limonene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undecan-4-olide ; d-limonene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Nectar d'abricot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Nectar d'abricot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950AF4A-D217-4045-BBBC-3C90FDB02936}"/>
</file>

<file path=customXml/itemProps3.xml><?xml version="1.0" encoding="utf-8"?>
<ds:datastoreItem xmlns:ds="http://schemas.openxmlformats.org/officeDocument/2006/customXml" ds:itemID="{E607A20D-C5E5-444F-B2BB-2075C13DCC51}"/>
</file>

<file path=customXml/itemProps4.xml><?xml version="1.0" encoding="utf-8"?>
<ds:datastoreItem xmlns:ds="http://schemas.openxmlformats.org/officeDocument/2006/customXml" ds:itemID="{7F3D56A6-5B7E-4126-A8CD-243DC395F08D}"/>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