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Musty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Gewerbliche Nutzung,Verwendung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7-hydroxycitronellal; linalyl acetate; 2-benzylideneheptanal; α-hexylcinnamaldehyde; isoeugenol;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Würzig. Blumig. Orange. Grün.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Nicht anwendbar</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Körpergewicht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Musty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Musty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2-benzylideneheptanal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citronellol ; 7-hydroxycitronellal ; anisaldehyde ; linalyl acetate ; 2-benzylideneheptanal ; isoeugenol ; d-limonene ; linalool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Musty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Musty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17.06.2026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EC4CFD-DA1B-4B57-B184-7D1BFCB7F50C}"/>
</file>

<file path=customXml/itemProps3.xml><?xml version="1.0" encoding="utf-8"?>
<ds:datastoreItem xmlns:ds="http://schemas.openxmlformats.org/officeDocument/2006/customXml" ds:itemID="{297715B4-ABC7-4E44-9F05-144286061F99}"/>
</file>

<file path=customXml/itemProps4.xml><?xml version="1.0" encoding="utf-8"?>
<ds:datastoreItem xmlns:ds="http://schemas.openxmlformats.org/officeDocument/2006/customXml" ds:itemID="{93565BC1-6F40-495B-A627-539EA3E99B7F}"/>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