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Musc blanc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alpha-iso-methylionone, Benzylsalicylat, HYDROXYCITRONELLAL, citronellol, linalool,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cyclopentadecanone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502-72-7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207-951-2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Aldehyd. Moschus.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cyclopentadecanone (502-72-7)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cyclopentadecanone (502-72-7)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Körpergewicht Animal: rat, Guideline: OECD Guideline 422 (Combined Repeated Dose Toxicity Study with the Reproduction / Developmental Toxicity Screening Test), Guideline: EU Method B.7 (Repeated Dose (28 Days) Toxicity (Oral)), Guideline: other:, Guideline: OECD Guideline 407 (Repeated Dose 28-Day Oral Toxicity Study in Rodents)</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422 (Combined Repeated Dose Toxicity Study with the Reproduction / Developmental Toxicity Screening Test), Guideline: EU Method B.7 (Repeated Dose (28 Days) Toxicity (Oral)), Guideline: other:,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Musc blanc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cyclopentadecanone (502-72-7)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0,17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Musc blanc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cyclopentadecanone (502-72-7)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salicylate ; 7-hydroxycitronellal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alpha-iso-methylionone, Benzylsalicylat, HYDROXYCITRONELLAL, citronellol, linalool,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Musc blanc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Musc blanc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29.05.2026   Überarbeitungsdatum: 18.06.2026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2E8A12B-B8D6-441C-940A-3912758AC2EC}"/>
</file>

<file path=customXml/itemProps3.xml><?xml version="1.0" encoding="utf-8"?>
<ds:datastoreItem xmlns:ds="http://schemas.openxmlformats.org/officeDocument/2006/customXml" ds:itemID="{34025FEE-4E27-48B2-B526-5D28AF885D2B}"/>
</file>

<file path=customXml/itemProps4.xml><?xml version="1.0" encoding="utf-8"?>
<ds:datastoreItem xmlns:ds="http://schemas.openxmlformats.org/officeDocument/2006/customXml" ds:itemID="{FAE3B14E-CA4C-495C-81D3-B7FF8B77E675}"/>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