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Musc blanc et coco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2-benzylideneheptanal, pentadecan-15-olide, coumarin, 3-methyl-4-(2,6,6-trimethyl-2-cyclohexen-1-yl)-3-buten-2-one.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122-40-7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Körpergewicht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Musc blanc et coco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Musc blanc et coco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2-benzylideneheptanal (122-40-7)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2-benzylideneheptanal, pentadecan-15-olide, coumarin, 3-methyl-4-(2,6,6-trimethyl-2-cyclohexen-1-yl)-3-buten-2-one.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Musc blanc et coco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Musc blanc et coco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18.05.2026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E9D15E6-6CB2-4D5E-8592-2D27C4E1FF0D}"/>
</file>

<file path=customXml/itemProps3.xml><?xml version="1.0" encoding="utf-8"?>
<ds:datastoreItem xmlns:ds="http://schemas.openxmlformats.org/officeDocument/2006/customXml" ds:itemID="{3E358F47-48D4-43B3-9D3F-A24E1863CA65}"/>
</file>

<file path=customXml/itemProps4.xml><?xml version="1.0" encoding="utf-8"?>
<ds:datastoreItem xmlns:ds="http://schemas.openxmlformats.org/officeDocument/2006/customXml" ds:itemID="{29CB3417-FC98-448D-971D-B00442CD1824}"/>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