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Monoï rosé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nerol; geranyl acetate; Geraniol; piperonal; [3R-(3α,3aβ,6α,7β,8aα)]-octahydro-3,6,8,8-tetramethyl-1H-3a,7-methanoazulen-5-yl acetate; benzyl salicylate; linalyl acetate; linalool; cinnamaldehyde; 2-benzylideneheptanal; isopentyl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1,0612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5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Orange.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nerol (106-25-2)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4500 mg/kg Körpergewicht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Körpergewicht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Körpergewicht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Körpergewicht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Körpergewicht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Monoï rosé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Monoï rosé kerze 7% ; nerol ; geranyl acetate ; Geraniol ; [3R-(3α,3aβ,6α,7β,8aα)]-octahydro-3,6,8,8-tetramethyl-1H-3a,7-methanoazulen-5-yl acetate ; linalyl acetate ; linalool ; d-limonene ; cinnamaldehyde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[3R-(3α,3aβ,6α,7β,8aα)]-octahydro-3,6,8,8-tetramethyl-1H-3a,7-methanoazulen-5-yl acetate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Stoffe, die in der Drogen-Ausgangsstoff-Verordnung gelistet sind (EG 273/2004, Stoffe die bei der unerlaubten Herstellung von Suchtstoffen und psychotropen Substanzen verwendet werden)</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CN-Bezeichnung</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CAS-Nr.</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Kategorie,</w:t>
            </w:r>
          </w:p>
          <w:p w:rsidR="00A65092" w:rsidRPr="0069446B" w:rsidP="00E96366" w14:paraId="26779EFF" w14:textId="63E11907">
            <w:pPr>
              <w:pStyle w:val="SDSTableTextHeading1"/>
              <w:rPr>
                <w:noProof w:val="0"/>
                <w:color w:val="auto"/>
              </w:rPr>
            </w:pPr>
            <w:r w:rsidRPr="0069446B" w:rsidR="00FA7F7F">
              <w:rPr>
                <w:noProof/>
                <w:color w:val="auto"/>
              </w:rPr>
              <w:t>Unterkategorie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Schwelle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Anhang</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Anhang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Monoï rosé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Monoï rosé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04.08.2026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FAABC44-183F-4FB8-893C-841E9574C100}"/>
</file>

<file path=customXml/itemProps3.xml><?xml version="1.0" encoding="utf-8"?>
<ds:datastoreItem xmlns:ds="http://schemas.openxmlformats.org/officeDocument/2006/customXml" ds:itemID="{C657F62B-9972-4508-A395-E66B8428DF96}"/>
</file>

<file path=customXml/itemProps4.xml><?xml version="1.0" encoding="utf-8"?>
<ds:datastoreItem xmlns:ds="http://schemas.openxmlformats.org/officeDocument/2006/customXml" ds:itemID="{3DD80503-DAF0-443B-B205-195DFB466F2E}"/>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