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Monoï rosé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geranyl acetate; Geraniol; benzyl salicylate; linalool; linalyl acetate;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1,1907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1,1424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Orange.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Körpergewicht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Körpergewicht Animal: rat, Animal sex: male, Guideline: OECD Guideline 401 (Acute Oral Toxicity), 95% CL: 3400 - 5600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Monoï rosé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Monoï rosé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geranyl acetate (105-87-3)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 ; benzyl salicylate ; linalool ; linalyl acetate ; d-limonene ; nerol ; [3R-(3α,3aβ,6α,7β,8aα)]-octahydro-3,6,8,8-tetramethyl-1H-3a,7-methanoazulen-5-yl acetate ; p-methoxybenzyl acetate ; 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Monoï rosé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Monoï rosé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30.07.2026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84AB7DA-4A7C-4D0E-9474-D754AE70193A}"/>
</file>

<file path=customXml/itemProps3.xml><?xml version="1.0" encoding="utf-8"?>
<ds:datastoreItem xmlns:ds="http://schemas.openxmlformats.org/officeDocument/2006/customXml" ds:itemID="{BF2F6E19-627A-4256-9A65-C59F1A59CAAF}"/>
</file>

<file path=customXml/itemProps4.xml><?xml version="1.0" encoding="utf-8"?>
<ds:datastoreItem xmlns:ds="http://schemas.openxmlformats.org/officeDocument/2006/customXml" ds:itemID="{3B3B8EF2-D563-4840-A657-735002C5BE85}"/>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