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Monoï pêche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2-benzylideneheptanal; linalool; linalyl acetate; Geraniol; α-hexylcinnamaldehyde; hexyl salicylate; acetyl cedrene; 3,7,11-trimethyldodeca-1,6,10-trien-3-ol,mixed isomers; benzyl salicylate; isoeugenol; cis-4-(isopropyl)cyclohexanemethanol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3,7,11-trimethyldodeca-1,6,10-trien-3-ol,mixed isomers (7212-44-4)</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3,7,11-trimethyldodeca-1,6,10-trien-3-ol,mixed isomers (7212-44-4)</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3,7,11-trimethyldodeca-1,6,10-trien-3-ol,mixed isomers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7212-44-4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230-597-5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Ethanone, 1-(3-methyl-2-benzofuranyl)-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23911-56-0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429-100-6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Orange.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Ethanone, 1-(3-methyl-2-benzofuranyl)- (23911-56-0)</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 – 2000 mg/kg Körpergewicht Animal: rat, Guideline: EU Method B.1 (Acute Toxicity (Oral)),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3,7,11-trimethyldodeca-1,6,10-trien-3-ol,mixed isomers (7212-44-4)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2610 mg/kg Körpergewicht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46,9 mg/kg Körpergewicht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Monoï pêche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Ethanone, 1-(3-methyl-2-benzofuranyl)- (23911-56-0)</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15,6 mg/l Test organisms (species): other:</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12,4 – 22,1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3,7,11-trimethyldodeca-1,6,10-trien-3-ol,mixed isomers (7212-44-4)</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510,3 μg/l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Monoï pêche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Ethanone, 1-(3-methyl-2-benzofuranyl)- (23911-56-0)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3,7,11-trimethyldodeca-1,6,10-trien-3-ol,mixed isomers (7212-44-4)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3,7,11-trimethyldodeca-1,6,10-trien-3-ol,mixed isomers (7212-44-4)</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3,7,11-trimethyldodeca-1,6,10-trien-3-ol,mixed isomers (7212-44-4)</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linalyl acetate ; Geraniol ; hexyl salicylate ; acetyl cedrene ; 3,7,11-trimethyldodeca-1,6,10-trien-3-ol,mixed isomers ; d-limonene ; isoeugenol ; Ethanone, 1-(3-methyl-2-benzofuranyl)-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hexyl salicylate ; acetyl cedrene ; 3,7,11-trimethyldodeca-1,6,10-trien-3-ol,mixed isomers ; d-limonene ; Ethanone, 1-(3-methyl-2-benzofuranyl)-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Monoï pêche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Monoï pêche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7EEE30C-4588-4653-91FB-E6848F817016}"/>
</file>

<file path=customXml/itemProps3.xml><?xml version="1.0" encoding="utf-8"?>
<ds:datastoreItem xmlns:ds="http://schemas.openxmlformats.org/officeDocument/2006/customXml" ds:itemID="{A052A3BF-4057-4B9A-B1EC-FB215F39A788}"/>
</file>

<file path=customXml/itemProps4.xml><?xml version="1.0" encoding="utf-8"?>
<ds:datastoreItem xmlns:ds="http://schemas.openxmlformats.org/officeDocument/2006/customXml" ds:itemID="{96A57FBC-78EB-4934-8CC0-BEDA915B6560}"/>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